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8E93" w14:textId="4E856808" w:rsidR="008F1DC5" w:rsidRPr="00CC641E" w:rsidRDefault="00D07A55">
      <w:pPr>
        <w:rPr>
          <w:b/>
        </w:rPr>
      </w:pPr>
      <w:r>
        <w:rPr>
          <w:b/>
        </w:rPr>
        <w:t>TITLE:</w:t>
      </w:r>
      <w:r w:rsidR="0017531E">
        <w:rPr>
          <w:b/>
        </w:rPr>
        <w:t xml:space="preserve"> </w:t>
      </w:r>
      <w:r w:rsidR="00973443">
        <w:rPr>
          <w:b/>
        </w:rPr>
        <w:t xml:space="preserve">IRON DEFICIENCY </w:t>
      </w:r>
      <w:r w:rsidR="0017531E">
        <w:rPr>
          <w:b/>
        </w:rPr>
        <w:t xml:space="preserve">ANEMIA </w:t>
      </w:r>
    </w:p>
    <w:p w14:paraId="1E5A875A" w14:textId="7CD9E725" w:rsidR="00472033" w:rsidRPr="00CC641E" w:rsidRDefault="00D07A55">
      <w:pPr>
        <w:rPr>
          <w:b/>
        </w:rPr>
      </w:pPr>
      <w:r>
        <w:rPr>
          <w:b/>
        </w:rPr>
        <w:t>Subtitle:</w:t>
      </w:r>
      <w:r w:rsidR="0017531E">
        <w:rPr>
          <w:b/>
        </w:rPr>
        <w:t xml:space="preserve"> Treatment</w:t>
      </w:r>
      <w:r w:rsidR="00973443">
        <w:rPr>
          <w:b/>
        </w:rPr>
        <w:t xml:space="preserve"> of iron deficiency anemia in pregnancy</w:t>
      </w:r>
      <w:r>
        <w:rPr>
          <w:b/>
        </w:rPr>
        <w:t xml:space="preserve"> </w:t>
      </w:r>
    </w:p>
    <w:p w14:paraId="12075B65" w14:textId="5B4049F9" w:rsidR="00472033" w:rsidRPr="00CC641E" w:rsidRDefault="00472033">
      <w:pPr>
        <w:rPr>
          <w:b/>
        </w:rPr>
      </w:pPr>
      <w:r w:rsidRPr="00CC641E">
        <w:rPr>
          <w:b/>
        </w:rPr>
        <w:t>SUMMARY:</w:t>
      </w:r>
      <w:r w:rsidR="00973443">
        <w:t xml:space="preserve"> </w:t>
      </w:r>
      <w:r w:rsidR="000B38AC" w:rsidRPr="000B38AC">
        <w:t>The CDC recommends iron supplementation starting in the first trimester</w:t>
      </w:r>
      <w:r w:rsidR="000B38AC">
        <w:t xml:space="preserve"> </w:t>
      </w:r>
      <w:r w:rsidR="000B38AC" w:rsidRPr="000B38AC">
        <w:t xml:space="preserve">to meet the iron requirements of pregnancy. </w:t>
      </w:r>
      <w:r w:rsidR="00973443">
        <w:t>The treatm</w:t>
      </w:r>
      <w:r w:rsidR="00F11E02">
        <w:t xml:space="preserve">ent of iron deficiency anemia </w:t>
      </w:r>
      <w:r w:rsidR="00D47F9A">
        <w:t xml:space="preserve">(IDA) </w:t>
      </w:r>
      <w:r w:rsidR="00973443">
        <w:t xml:space="preserve">with oral preparations </w:t>
      </w:r>
      <w:r w:rsidR="00F11E02">
        <w:t>in pregnancy may be improved by alternate day dosing</w:t>
      </w:r>
      <w:r w:rsidR="00EA1575">
        <w:t xml:space="preserve"> and lower iron doses then previously recommended</w:t>
      </w:r>
      <w:r w:rsidR="00F11E02">
        <w:t>. When IV therapy is needed, data now support the use of higher iron doses</w:t>
      </w:r>
      <w:r w:rsidR="00D47F9A">
        <w:t>,</w:t>
      </w:r>
      <w:r w:rsidR="00F11E02">
        <w:t xml:space="preserve"> administered more rapidly</w:t>
      </w:r>
      <w:r w:rsidR="00061FDB">
        <w:t>.</w:t>
      </w:r>
      <w:r w:rsidR="00F11E02">
        <w:t xml:space="preserve"> </w:t>
      </w:r>
    </w:p>
    <w:p w14:paraId="3F49E10C" w14:textId="0B1C720C" w:rsidR="00BC45CE" w:rsidRDefault="00BC45CE" w:rsidP="00BC45CE">
      <w:r w:rsidRPr="00442CA3">
        <w:rPr>
          <w:b/>
        </w:rPr>
        <w:t>Rationale:</w:t>
      </w:r>
      <w:r>
        <w:t xml:space="preserve"> </w:t>
      </w:r>
      <w:r w:rsidR="00EA1575" w:rsidRPr="00EA1575">
        <w:t>The choice of iron compound and the route of administration are largely dependent on the presence and degree of</w:t>
      </w:r>
      <w:r w:rsidR="00EA1575">
        <w:t xml:space="preserve"> anemia, </w:t>
      </w:r>
      <w:r w:rsidR="00EA1575" w:rsidRPr="00EA1575">
        <w:t xml:space="preserve">reversibility of the underlying cause, clinical status (age, sex, longstanding vs recent onset), and in some instances, patient preference. Iron salts such as iron sulfate, fumarate, and gluconate remain a mainstay of therapy in absolute iron deficiency. The alternative for patients </w:t>
      </w:r>
      <w:r w:rsidR="00171C2D">
        <w:t xml:space="preserve">who are </w:t>
      </w:r>
      <w:r w:rsidR="00EA1575" w:rsidRPr="00EA1575">
        <w:t xml:space="preserve">intolerant or unresponsive to oral compounds is IV iron.  This route of administration is currently more widely used </w:t>
      </w:r>
      <w:r w:rsidR="00567D96">
        <w:t xml:space="preserve">than in the past </w:t>
      </w:r>
      <w:r w:rsidR="00EA1575" w:rsidRPr="00EA1575">
        <w:t>as a result of the improved safety profile of last-generation compounds. Common established indications for IV iron in pregnancy are reduced absorption capacity in the presence of gastrointestinal disorders (</w:t>
      </w:r>
      <w:proofErr w:type="spellStart"/>
      <w:r w:rsidR="00EA1575" w:rsidRPr="00EA1575">
        <w:t>eg</w:t>
      </w:r>
      <w:proofErr w:type="spellEnd"/>
      <w:r w:rsidR="00EA1575" w:rsidRPr="00EA1575">
        <w:t xml:space="preserve"> Crohn’s </w:t>
      </w:r>
      <w:proofErr w:type="spellStart"/>
      <w:r w:rsidR="00EA1575" w:rsidRPr="00EA1575">
        <w:t>dz</w:t>
      </w:r>
      <w:proofErr w:type="spellEnd"/>
      <w:r w:rsidR="00EA1575" w:rsidRPr="00EA1575">
        <w:t xml:space="preserve">) or bariatric surgery, severe anemia (Hb &lt;7-8 g/dL), lack of response to oral iron after 4 weeks of therapy, need for rapid </w:t>
      </w:r>
      <w:proofErr w:type="spellStart"/>
      <w:r w:rsidR="00EA1575" w:rsidRPr="00EA1575">
        <w:t>hgb</w:t>
      </w:r>
      <w:proofErr w:type="spellEnd"/>
      <w:r w:rsidR="00EA1575" w:rsidRPr="00EA1575">
        <w:t xml:space="preserve"> increase in 3rd trimester of pregnancy.</w:t>
      </w:r>
    </w:p>
    <w:p w14:paraId="104B5B69" w14:textId="7B3E02C5" w:rsidR="00BC45CE" w:rsidRDefault="00BC45CE" w:rsidP="00BC45CE">
      <w:r w:rsidRPr="00442CA3">
        <w:rPr>
          <w:b/>
        </w:rPr>
        <w:t>Eligible patients:</w:t>
      </w:r>
      <w:r>
        <w:t xml:space="preserve"> </w:t>
      </w:r>
      <w:r w:rsidR="00D47F9A" w:rsidRPr="00D47F9A">
        <w:t xml:space="preserve">The Centers for Disease Control and Prevention </w:t>
      </w:r>
      <w:r w:rsidR="00D47F9A">
        <w:t xml:space="preserve">(CDC) </w:t>
      </w:r>
      <w:r w:rsidR="00D47F9A" w:rsidRPr="00D47F9A">
        <w:t>recommends screening for iron de</w:t>
      </w:r>
      <w:r w:rsidR="00FB0704">
        <w:t xml:space="preserve">ficiency anemia in pregnant people </w:t>
      </w:r>
      <w:r w:rsidR="00D47F9A">
        <w:t>and providing appropriate treatmen</w:t>
      </w:r>
      <w:r w:rsidR="00E42D57">
        <w:t xml:space="preserve">t. (See toolbox document ANEMIA: </w:t>
      </w:r>
      <w:r w:rsidR="00E42D57" w:rsidRPr="00E42D57">
        <w:t xml:space="preserve">DIAGNOSIS of IRON DEFICIENCY IN PREGNANCY </w:t>
      </w:r>
      <w:r w:rsidR="00D47F9A">
        <w:t xml:space="preserve">for more information).  </w:t>
      </w:r>
    </w:p>
    <w:p w14:paraId="0F30C461" w14:textId="77777777" w:rsidR="00CE2539" w:rsidRDefault="00BC45CE" w:rsidP="00F640BA">
      <w:pPr>
        <w:rPr>
          <w:b/>
        </w:rPr>
      </w:pPr>
      <w:r w:rsidRPr="00442CA3">
        <w:rPr>
          <w:b/>
        </w:rPr>
        <w:t xml:space="preserve">Contraindications: </w:t>
      </w:r>
    </w:p>
    <w:p w14:paraId="7EC15ABE" w14:textId="00BC8FFC" w:rsidR="00CE2539" w:rsidRDefault="00CE2539" w:rsidP="00F640BA">
      <w:r>
        <w:rPr>
          <w:b/>
        </w:rPr>
        <w:t>-</w:t>
      </w:r>
      <w:r w:rsidR="00FB0704">
        <w:t>Pregnant people</w:t>
      </w:r>
      <w:r w:rsidR="00D47F9A" w:rsidRPr="00D47F9A">
        <w:t xml:space="preserve"> with genetic conditions</w:t>
      </w:r>
      <w:r w:rsidR="00A5378B">
        <w:t xml:space="preserve"> such as hemochromatosis should not receive </w:t>
      </w:r>
      <w:r>
        <w:t xml:space="preserve">universal iron supplementation. </w:t>
      </w:r>
    </w:p>
    <w:p w14:paraId="35FE7AA6" w14:textId="5AC33018" w:rsidR="00F640BA" w:rsidRDefault="00CE2539" w:rsidP="00F640BA">
      <w:r>
        <w:t>-</w:t>
      </w:r>
      <w:r w:rsidRPr="00CE2539">
        <w:t xml:space="preserve">Acute hypersensitivity reaction including wheezing, stridor, hypotension, tachycardia, tachypnea or periorbital/angioedema in response to </w:t>
      </w:r>
      <w:r>
        <w:t xml:space="preserve">prior </w:t>
      </w:r>
      <w:r w:rsidRPr="00CE2539">
        <w:t>IV iron infusion.</w:t>
      </w:r>
    </w:p>
    <w:p w14:paraId="7EB41249" w14:textId="48F3FDB5" w:rsidR="00BC45CE" w:rsidRDefault="00BC45CE" w:rsidP="00BC45CE">
      <w:pPr>
        <w:rPr>
          <w:b/>
        </w:rPr>
      </w:pPr>
      <w:r w:rsidRPr="00442CA3">
        <w:rPr>
          <w:b/>
        </w:rPr>
        <w:t>Technique:</w:t>
      </w:r>
      <w:r>
        <w:t xml:space="preserve"> </w:t>
      </w:r>
      <w:r w:rsidR="00EA1575" w:rsidRPr="00EA1575">
        <w:rPr>
          <w:b/>
        </w:rPr>
        <w:t>ORAL IRON</w:t>
      </w:r>
    </w:p>
    <w:p w14:paraId="0F45B24D" w14:textId="77777777" w:rsidR="00707643" w:rsidRDefault="00EA1575" w:rsidP="00FA3525">
      <w:r>
        <w:t xml:space="preserve">Mounting evidence indicates that low oral doses are more effective and better tolerated than the traditionally recommended 100 to 200 mg of elementary iron per day. </w:t>
      </w:r>
      <w:r w:rsidRPr="004A6852">
        <w:rPr>
          <w:b/>
        </w:rPr>
        <w:t>Changing the administration from daily to alternate-day schedules and from divided to single doses increases t</w:t>
      </w:r>
      <w:r w:rsidR="00AE2883">
        <w:rPr>
          <w:b/>
        </w:rPr>
        <w:t>he efficacy of treatment and</w:t>
      </w:r>
      <w:r w:rsidRPr="004A6852">
        <w:rPr>
          <w:b/>
        </w:rPr>
        <w:t xml:space="preserve"> improves tolerability.</w:t>
      </w:r>
      <w:r w:rsidRPr="004A6852">
        <w:rPr>
          <w:b/>
          <w:i/>
        </w:rPr>
        <w:t xml:space="preserve"> </w:t>
      </w:r>
      <w:r w:rsidRPr="00EA1575">
        <w:rPr>
          <w:b/>
          <w:i/>
        </w:rPr>
        <w:t>The minimal dose used for iron supplementation is the equivalent of 60 mg elemental iron daily.</w:t>
      </w:r>
      <w:r>
        <w:t xml:space="preserve"> This dose should be used for </w:t>
      </w:r>
      <w:r w:rsidR="00707643">
        <w:t xml:space="preserve">initial </w:t>
      </w:r>
      <w:r>
        <w:t xml:space="preserve">empiric treatment of suspected IDA as is commonly seen in the third trimester of pregnancy and also for universal supplementation in the </w:t>
      </w:r>
      <w:r w:rsidR="006F7117">
        <w:t>first</w:t>
      </w:r>
      <w:r>
        <w:t xml:space="preserve"> trimester </w:t>
      </w:r>
      <w:r w:rsidR="004A6852">
        <w:t xml:space="preserve">along with a </w:t>
      </w:r>
      <w:r>
        <w:t xml:space="preserve">prenatal vitamin. </w:t>
      </w:r>
      <w:r w:rsidR="00707643">
        <w:t xml:space="preserve">Doses above 100 mg daily should be administered QOD. </w:t>
      </w:r>
      <w:r w:rsidRPr="004A6852">
        <w:rPr>
          <w:b/>
          <w:i/>
        </w:rPr>
        <w:t xml:space="preserve">Ingestion one hour before meals, on an empty stomach, with a glass of orange juice or another form of vitamin C to </w:t>
      </w:r>
      <w:r w:rsidR="006F7117">
        <w:rPr>
          <w:b/>
          <w:i/>
        </w:rPr>
        <w:t>improve</w:t>
      </w:r>
      <w:r w:rsidRPr="004A6852">
        <w:rPr>
          <w:b/>
          <w:i/>
        </w:rPr>
        <w:t xml:space="preserve"> absorption</w:t>
      </w:r>
      <w:r w:rsidR="00AE2883">
        <w:rPr>
          <w:b/>
          <w:i/>
        </w:rPr>
        <w:t>,</w:t>
      </w:r>
      <w:r w:rsidRPr="004A6852">
        <w:rPr>
          <w:b/>
          <w:i/>
        </w:rPr>
        <w:t xml:space="preserve"> is recommended.</w:t>
      </w:r>
      <w:r>
        <w:t xml:space="preserve"> </w:t>
      </w:r>
      <w:r w:rsidR="004A6852" w:rsidRPr="004A6852">
        <w:t xml:space="preserve">Milk, calcium and antacids should not be taken at the same time as iron supplements because </w:t>
      </w:r>
      <w:r w:rsidR="00AE2883">
        <w:t xml:space="preserve">these interfere with </w:t>
      </w:r>
      <w:r w:rsidR="004A6852" w:rsidRPr="004A6852">
        <w:t xml:space="preserve">absorption. </w:t>
      </w:r>
    </w:p>
    <w:p w14:paraId="2F55FDB8" w14:textId="08197F40" w:rsidR="00FA3525" w:rsidRPr="00707643" w:rsidRDefault="00FA3525" w:rsidP="00FA3525">
      <w:r>
        <w:rPr>
          <w:rFonts w:ascii="AdvOT3c2d9f11" w:hAnsi="AdvOT3c2d9f11" w:cs="AdvOT3c2d9f11"/>
          <w:color w:val="231F20"/>
          <w:sz w:val="20"/>
          <w:szCs w:val="20"/>
        </w:rPr>
        <w:lastRenderedPageBreak/>
        <w:t xml:space="preserve"> Delayed and slow</w:t>
      </w:r>
      <w:r w:rsidR="0043474D">
        <w:rPr>
          <w:rFonts w:ascii="AdvOT3c2d9f11" w:hAnsi="AdvOT3c2d9f11" w:cs="AdvOT3c2d9f11"/>
          <w:color w:val="231F20"/>
          <w:sz w:val="20"/>
          <w:szCs w:val="20"/>
        </w:rPr>
        <w:t>-</w:t>
      </w:r>
      <w:r>
        <w:rPr>
          <w:rFonts w:ascii="AdvOT3c2d9f11" w:hAnsi="AdvOT3c2d9f11" w:cs="AdvOT3c2d9f11"/>
          <w:color w:val="231F20"/>
          <w:sz w:val="20"/>
          <w:szCs w:val="20"/>
        </w:rPr>
        <w:t>release prod</w:t>
      </w:r>
      <w:r w:rsidR="00707643">
        <w:rPr>
          <w:rFonts w:ascii="AdvOT3c2d9f11" w:hAnsi="AdvOT3c2d9f11" w:cs="AdvOT3c2d9f11"/>
          <w:color w:val="231F20"/>
          <w:sz w:val="20"/>
          <w:szCs w:val="20"/>
        </w:rPr>
        <w:t>ucts are</w:t>
      </w:r>
      <w:r>
        <w:rPr>
          <w:rFonts w:ascii="AdvOT3c2d9f11" w:hAnsi="AdvOT3c2d9f11" w:cs="AdvOT3c2d9f11"/>
          <w:color w:val="231F20"/>
          <w:sz w:val="20"/>
          <w:szCs w:val="20"/>
        </w:rPr>
        <w:t xml:space="preserve"> not recommended due to poor absorption</w:t>
      </w:r>
      <w:r w:rsidR="00707643">
        <w:rPr>
          <w:rFonts w:ascii="AdvOT3c2d9f11" w:hAnsi="AdvOT3c2d9f11" w:cs="AdvOT3c2d9f11"/>
          <w:color w:val="231F20"/>
          <w:sz w:val="20"/>
          <w:szCs w:val="20"/>
        </w:rPr>
        <w:t xml:space="preserve">. </w:t>
      </w:r>
    </w:p>
    <w:p w14:paraId="4C72455D" w14:textId="5F714F05" w:rsidR="00EA1575" w:rsidRDefault="00EA1575" w:rsidP="00EA1575">
      <w:r>
        <w:t>Ferrous sulfate***: 325 mg tablet contains 65 mg elemental iron (recommended choice in pregnancy</w:t>
      </w:r>
      <w:r w:rsidR="00E42D57">
        <w:t xml:space="preserve"> and for universal supplementation in addition to a prenatal vitamin</w:t>
      </w:r>
      <w:r>
        <w:t>)</w:t>
      </w:r>
    </w:p>
    <w:p w14:paraId="56DBEF01" w14:textId="77777777" w:rsidR="00EA1575" w:rsidRDefault="00EA1575" w:rsidP="00EA1575">
      <w:r>
        <w:t>Ferrous fumarate: 325 mg tablet contains 106 mg elemental iron</w:t>
      </w:r>
    </w:p>
    <w:p w14:paraId="4E6CDA9F" w14:textId="37D6426C" w:rsidR="00EA1575" w:rsidRDefault="00EA1575" w:rsidP="00EA1575">
      <w:r>
        <w:t>Ferrous gluconate: 3</w:t>
      </w:r>
      <w:r w:rsidR="0043474D">
        <w:t>00</w:t>
      </w:r>
      <w:r>
        <w:t xml:space="preserve"> mg tablet contains 3</w:t>
      </w:r>
      <w:r w:rsidR="0043474D">
        <w:t>4</w:t>
      </w:r>
      <w:r>
        <w:t xml:space="preserve"> mg of elemental iron</w:t>
      </w:r>
    </w:p>
    <w:p w14:paraId="3FCA8FBD" w14:textId="013DE6F3" w:rsidR="00CE2539" w:rsidRPr="004A6852" w:rsidRDefault="004A6852" w:rsidP="00CE2539">
      <w:pPr>
        <w:rPr>
          <w:b/>
        </w:rPr>
      </w:pPr>
      <w:r w:rsidRPr="004A6852">
        <w:rPr>
          <w:b/>
        </w:rPr>
        <w:t>Technique: IV IRON</w:t>
      </w:r>
    </w:p>
    <w:p w14:paraId="09FC4266" w14:textId="31B18F12" w:rsidR="00A10119" w:rsidRPr="00B1328E" w:rsidRDefault="00EA1575" w:rsidP="00A10119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231F20"/>
        </w:rPr>
      </w:pPr>
      <w:r>
        <w:t>IV iron</w:t>
      </w:r>
      <w:r w:rsidR="00B1328E" w:rsidRPr="00B1328E">
        <w:rPr>
          <w:rFonts w:ascii="AdvOT3c2d9f11" w:hAnsi="AdvOT3c2d9f11" w:cs="AdvOT3c2d9f11"/>
          <w:color w:val="231F20"/>
        </w:rPr>
        <w:t xml:space="preserve"> </w:t>
      </w:r>
      <w:r w:rsidR="00B1328E">
        <w:rPr>
          <w:rFonts w:ascii="AdvOT3c2d9f11" w:hAnsi="AdvOT3c2d9f11" w:cs="AdvOT3c2d9f11"/>
          <w:color w:val="231F20"/>
        </w:rPr>
        <w:t xml:space="preserve">is </w:t>
      </w:r>
      <w:r w:rsidR="00B1328E" w:rsidRPr="00B1328E">
        <w:rPr>
          <w:rFonts w:ascii="AdvOT3c2d9f11" w:hAnsi="AdvOT3c2d9f11" w:cs="AdvOT3c2d9f11"/>
          <w:color w:val="231F20"/>
        </w:rPr>
        <w:t>associated with higher maternal</w:t>
      </w:r>
      <w:r w:rsidR="00B1328E">
        <w:rPr>
          <w:rFonts w:ascii="AdvOT3c2d9f11" w:hAnsi="AdvOT3c2d9f11" w:cs="AdvOT3c2d9f11"/>
          <w:color w:val="231F20"/>
        </w:rPr>
        <w:t xml:space="preserve"> </w:t>
      </w:r>
      <w:r w:rsidR="00B1328E" w:rsidRPr="00B1328E">
        <w:rPr>
          <w:rFonts w:ascii="AdvOT3c2d9f11" w:hAnsi="AdvOT3c2d9f11" w:cs="AdvOT3c2d9f11"/>
          <w:color w:val="231F20"/>
        </w:rPr>
        <w:t>hemoglobin at delivery</w:t>
      </w:r>
      <w:r w:rsidR="00B1328E">
        <w:rPr>
          <w:rFonts w:ascii="AdvOT3c2d9f11" w:hAnsi="AdvOT3c2d9f11" w:cs="AdvOT3c2d9f11"/>
          <w:color w:val="231F20"/>
        </w:rPr>
        <w:t>,</w:t>
      </w:r>
      <w:r w:rsidR="00B1328E" w:rsidRPr="00B1328E">
        <w:rPr>
          <w:rFonts w:ascii="AdvOT3c2d9f11" w:hAnsi="AdvOT3c2d9f11" w:cs="AdvOT3c2d9f11"/>
          <w:color w:val="231F20"/>
        </w:rPr>
        <w:t xml:space="preserve"> greater likelihood of achieving target hemoglobin and decreased adverse reactions</w:t>
      </w:r>
      <w:r w:rsidR="00A10119">
        <w:rPr>
          <w:rFonts w:ascii="AdvOT3c2d9f11" w:hAnsi="AdvOT3c2d9f11" w:cs="AdvOT3c2d9f11"/>
          <w:color w:val="231F20"/>
        </w:rPr>
        <w:t xml:space="preserve"> in comparison to PO iron supplementation</w:t>
      </w:r>
      <w:r w:rsidR="00B1328E">
        <w:rPr>
          <w:rFonts w:ascii="AdvOT3c2d9f11" w:hAnsi="AdvOT3c2d9f11" w:cs="AdvOT3c2d9f11"/>
          <w:color w:val="231F20"/>
        </w:rPr>
        <w:t>. Addit</w:t>
      </w:r>
      <w:r w:rsidR="00A10119">
        <w:rPr>
          <w:rFonts w:ascii="AdvOT3c2d9f11" w:hAnsi="AdvOT3c2d9f11" w:cs="AdvOT3c2d9f11"/>
          <w:color w:val="231F20"/>
        </w:rPr>
        <w:t xml:space="preserve">ionally, those receiving IV iron during pregnancy, had </w:t>
      </w:r>
      <w:r w:rsidR="00A10119" w:rsidRPr="00B1328E">
        <w:rPr>
          <w:rFonts w:ascii="AdvOT3c2d9f11" w:hAnsi="AdvOT3c2d9f11" w:cs="AdvOT3c2d9f11"/>
          <w:color w:val="231F20"/>
        </w:rPr>
        <w:t xml:space="preserve">higher hemoglobin concentrations at 6 weeks postpartum </w:t>
      </w:r>
      <w:r w:rsidR="00A10119">
        <w:rPr>
          <w:rFonts w:ascii="AdvOT3c2d9f11" w:hAnsi="AdvOT3c2d9f11" w:cs="AdvOT3c2d9f11"/>
          <w:color w:val="231F20"/>
        </w:rPr>
        <w:t xml:space="preserve">with </w:t>
      </w:r>
      <w:r w:rsidR="00A10119" w:rsidRPr="00B1328E">
        <w:rPr>
          <w:rFonts w:ascii="AdvOT3c2d9f11" w:hAnsi="AdvOT3c2d9f11" w:cs="AdvOT3c2d9f11"/>
          <w:color w:val="231F20"/>
        </w:rPr>
        <w:t>fewer gastrointestinal adverse effects</w:t>
      </w:r>
      <w:r w:rsidR="00A10119">
        <w:rPr>
          <w:rFonts w:ascii="AdvOT3c2d9f11" w:hAnsi="AdvOT3c2d9f11" w:cs="AdvOT3c2d9f11"/>
          <w:color w:val="231F20"/>
        </w:rPr>
        <w:t>.</w:t>
      </w:r>
    </w:p>
    <w:p w14:paraId="188EDE5E" w14:textId="2D8BF748" w:rsidR="00B1328E" w:rsidRPr="00B1328E" w:rsidRDefault="00B1328E" w:rsidP="00B1328E">
      <w:pPr>
        <w:autoSpaceDE w:val="0"/>
        <w:autoSpaceDN w:val="0"/>
        <w:adjustRightInd w:val="0"/>
        <w:spacing w:after="0" w:line="240" w:lineRule="auto"/>
        <w:rPr>
          <w:rFonts w:ascii="AdvOT3c2d9f11" w:hAnsi="AdvOT3c2d9f11" w:cs="AdvOT3c2d9f11"/>
          <w:color w:val="231F20"/>
        </w:rPr>
      </w:pPr>
    </w:p>
    <w:p w14:paraId="410BD6C2" w14:textId="54617824" w:rsidR="00EA1575" w:rsidRDefault="00EA1575" w:rsidP="00EA1575">
      <w:r>
        <w:t xml:space="preserve"> </w:t>
      </w:r>
      <w:r w:rsidR="00A10119">
        <w:t xml:space="preserve">IV iron </w:t>
      </w:r>
      <w:r w:rsidR="00AE2883">
        <w:t>is available in different forms</w:t>
      </w:r>
      <w:r w:rsidR="00A10119">
        <w:t>. Those products which allow</w:t>
      </w:r>
      <w:r>
        <w:t xml:space="preserve"> </w:t>
      </w:r>
      <w:r w:rsidR="00A10119">
        <w:t xml:space="preserve">a </w:t>
      </w:r>
      <w:r>
        <w:t>high-dose schedule avoid</w:t>
      </w:r>
      <w:r w:rsidR="00A10119">
        <w:t xml:space="preserve"> </w:t>
      </w:r>
      <w:r w:rsidR="00AE2883">
        <w:t xml:space="preserve">multiple infusions </w:t>
      </w:r>
      <w:r>
        <w:t xml:space="preserve">and </w:t>
      </w:r>
      <w:r w:rsidR="00A10119">
        <w:t>increase</w:t>
      </w:r>
      <w:r>
        <w:t xml:space="preserve"> convenien</w:t>
      </w:r>
      <w:r w:rsidR="00A10119">
        <w:t>ce</w:t>
      </w:r>
      <w:r w:rsidR="00087076">
        <w:t xml:space="preserve">. </w:t>
      </w:r>
      <w:r>
        <w:t>In addition to the prompt H</w:t>
      </w:r>
      <w:r w:rsidR="00AE2883">
        <w:t>g</w:t>
      </w:r>
      <w:r>
        <w:t>b increase, th</w:t>
      </w:r>
      <w:r w:rsidR="00087076">
        <w:t xml:space="preserve">ese </w:t>
      </w:r>
      <w:r>
        <w:t>protocol</w:t>
      </w:r>
      <w:r w:rsidR="00087076">
        <w:t>s</w:t>
      </w:r>
      <w:r w:rsidR="00AE2883">
        <w:t xml:space="preserve"> rapidly reconstitute stores, </w:t>
      </w:r>
      <w:r>
        <w:t xml:space="preserve">making the advantages (single access, accelerated recovery, limited need for blood tests) outweigh the disadvantages (cost, invasiveness, risk of reactions). </w:t>
      </w:r>
      <w:r w:rsidR="00CE2539">
        <w:t>S</w:t>
      </w:r>
      <w:r w:rsidR="00CE2539" w:rsidRPr="00CE2539">
        <w:t>low infusion at the outset is recommended for all formulations to observe for adverse reactions.</w:t>
      </w:r>
      <w:r w:rsidR="00CE2539">
        <w:t xml:space="preserve"> </w:t>
      </w:r>
      <w:r w:rsidR="009053DE">
        <w:t>Newer regimens suggest empiric dosing of 1000 mg</w:t>
      </w:r>
      <w:r w:rsidR="00E957E8">
        <w:t xml:space="preserve"> iron for IV replacement is appropriate. </w:t>
      </w:r>
    </w:p>
    <w:p w14:paraId="40BD37E0" w14:textId="39B0E437" w:rsidR="00B667DB" w:rsidRDefault="00A36004" w:rsidP="00B667DB">
      <w:r>
        <w:t>***</w:t>
      </w:r>
      <w:r w:rsidR="00B667DB">
        <w:t xml:space="preserve">Low molecular </w:t>
      </w:r>
      <w:r w:rsidR="00A01AED">
        <w:t xml:space="preserve">weight </w:t>
      </w:r>
      <w:r w:rsidR="00B667DB">
        <w:t xml:space="preserve">Iron dextran </w:t>
      </w:r>
      <w:r w:rsidR="009B2652">
        <w:t>(</w:t>
      </w:r>
      <w:r w:rsidR="005760DF">
        <w:t xml:space="preserve">LMW-ID, </w:t>
      </w:r>
      <w:r w:rsidR="00B667DB">
        <w:t>INFED)</w:t>
      </w:r>
      <w:r w:rsidR="009B2652">
        <w:t>:</w:t>
      </w:r>
      <w:r w:rsidR="00B667DB">
        <w:t xml:space="preserve"> </w:t>
      </w:r>
      <w:r w:rsidR="00206A19">
        <w:t xml:space="preserve">LMW-ID is the least expensive IV supplement and is given as a </w:t>
      </w:r>
      <w:r w:rsidR="00206A19" w:rsidRPr="00206A19">
        <w:t xml:space="preserve">single </w:t>
      </w:r>
      <w:r w:rsidR="00206A19" w:rsidRPr="00206A19">
        <w:rPr>
          <w:rFonts w:ascii="AdvOT3c2d9f11" w:hAnsi="AdvOT3c2d9f11" w:cs="AdvOT3c2d9f11"/>
          <w:color w:val="231F20"/>
        </w:rPr>
        <w:t>infusion</w:t>
      </w:r>
      <w:r w:rsidR="00206A19">
        <w:rPr>
          <w:rFonts w:ascii="AdvOT3c2d9f11" w:hAnsi="AdvOT3c2d9f11" w:cs="AdvOT3c2d9f11"/>
          <w:color w:val="231F20"/>
          <w:sz w:val="20"/>
          <w:szCs w:val="20"/>
        </w:rPr>
        <w:t xml:space="preserve">. </w:t>
      </w:r>
      <w:r w:rsidR="00B667DB" w:rsidRPr="00CE2539">
        <w:t>A retrospective analysis of over 30 million doses of IV iron showed the large majority of</w:t>
      </w:r>
      <w:r w:rsidR="009B2652">
        <w:t xml:space="preserve"> serious adverse events (</w:t>
      </w:r>
      <w:r w:rsidR="00B667DB" w:rsidRPr="00CE2539">
        <w:t>SAE</w:t>
      </w:r>
      <w:r w:rsidR="009B2652">
        <w:t>)</w:t>
      </w:r>
      <w:r w:rsidR="00B667DB" w:rsidRPr="00CE2539">
        <w:t xml:space="preserve"> with ID were due to the older, HMW formulations. When these formulations are excluded, the LMW formulations (such as INFED) are safe with a SAE rate of less than 1:200,000 administrations.</w:t>
      </w:r>
      <w:r w:rsidR="00894B08">
        <w:t xml:space="preserve"> </w:t>
      </w:r>
      <w:r w:rsidR="00894B08">
        <w:rPr>
          <w:rFonts w:ascii="AdvOT3c2d9f11" w:hAnsi="AdvOT3c2d9f11" w:cs="AdvOT3c2d9f11"/>
          <w:color w:val="231F20"/>
          <w:sz w:val="20"/>
          <w:szCs w:val="20"/>
        </w:rPr>
        <w:t xml:space="preserve">- </w:t>
      </w:r>
      <w:r w:rsidR="00887133">
        <w:rPr>
          <w:b/>
          <w:i/>
        </w:rPr>
        <w:t xml:space="preserve">Prepare 1000 mg in 250 cc NS. Test </w:t>
      </w:r>
      <w:r w:rsidR="00B667DB" w:rsidRPr="00CE2539">
        <w:rPr>
          <w:b/>
          <w:i/>
        </w:rPr>
        <w:t xml:space="preserve">dose is </w:t>
      </w:r>
      <w:r w:rsidR="009B707E">
        <w:rPr>
          <w:b/>
          <w:i/>
        </w:rPr>
        <w:t>25</w:t>
      </w:r>
      <w:r w:rsidR="00B667DB" w:rsidRPr="00CE2539">
        <w:rPr>
          <w:b/>
          <w:i/>
        </w:rPr>
        <w:t xml:space="preserve"> mg IV bolus over </w:t>
      </w:r>
      <w:r w:rsidR="009B707E">
        <w:rPr>
          <w:b/>
          <w:i/>
        </w:rPr>
        <w:t xml:space="preserve">15 </w:t>
      </w:r>
      <w:r w:rsidR="00B667DB" w:rsidRPr="00CE2539">
        <w:rPr>
          <w:b/>
          <w:i/>
        </w:rPr>
        <w:t>minutes</w:t>
      </w:r>
      <w:r w:rsidR="00B667DB">
        <w:rPr>
          <w:b/>
          <w:i/>
        </w:rPr>
        <w:t xml:space="preserve"> followed by 15 min observation for reaction</w:t>
      </w:r>
      <w:r w:rsidR="00B667DB" w:rsidRPr="00CE2539">
        <w:rPr>
          <w:b/>
          <w:i/>
        </w:rPr>
        <w:t>.</w:t>
      </w:r>
      <w:r w:rsidR="00B667DB" w:rsidRPr="00CE2539">
        <w:rPr>
          <w:i/>
        </w:rPr>
        <w:t xml:space="preserve"> </w:t>
      </w:r>
      <w:r w:rsidR="00FB0BFC" w:rsidRPr="004A2EC4">
        <w:rPr>
          <w:b/>
          <w:bCs/>
          <w:i/>
        </w:rPr>
        <w:t xml:space="preserve">If the test dose is well-tolerated, infuse the </w:t>
      </w:r>
      <w:r w:rsidR="004A2EC4" w:rsidRPr="004A2EC4">
        <w:rPr>
          <w:b/>
          <w:bCs/>
          <w:i/>
        </w:rPr>
        <w:t>remainder (975 mg)</w:t>
      </w:r>
      <w:r w:rsidR="004A2EC4">
        <w:rPr>
          <w:i/>
        </w:rPr>
        <w:t xml:space="preserve"> </w:t>
      </w:r>
      <w:r w:rsidR="00B667DB" w:rsidRPr="00CE2539">
        <w:rPr>
          <w:b/>
          <w:i/>
        </w:rPr>
        <w:t xml:space="preserve">over </w:t>
      </w:r>
      <w:r w:rsidR="004A2EC4">
        <w:rPr>
          <w:b/>
          <w:i/>
        </w:rPr>
        <w:t>1</w:t>
      </w:r>
      <w:r>
        <w:rPr>
          <w:b/>
          <w:i/>
        </w:rPr>
        <w:t xml:space="preserve"> hour (range 1-</w:t>
      </w:r>
      <w:r w:rsidR="00B667DB" w:rsidRPr="00CE2539">
        <w:rPr>
          <w:b/>
          <w:i/>
        </w:rPr>
        <w:t>4 hours</w:t>
      </w:r>
      <w:r>
        <w:rPr>
          <w:b/>
          <w:i/>
        </w:rPr>
        <w:t>).</w:t>
      </w:r>
      <w:r w:rsidRPr="00A36004">
        <w:rPr>
          <w:bCs/>
          <w:iCs/>
        </w:rPr>
        <w:t xml:space="preserve"> </w:t>
      </w:r>
      <w:r w:rsidR="003D0877">
        <w:rPr>
          <w:bCs/>
          <w:iCs/>
        </w:rPr>
        <w:t xml:space="preserve">See </w:t>
      </w:r>
      <w:r w:rsidR="00607636" w:rsidRPr="00607636">
        <w:rPr>
          <w:b/>
          <w:iCs/>
        </w:rPr>
        <w:t>S</w:t>
      </w:r>
      <w:r w:rsidR="003D0877" w:rsidRPr="00607636">
        <w:rPr>
          <w:b/>
          <w:iCs/>
        </w:rPr>
        <w:t xml:space="preserve">pecial </w:t>
      </w:r>
      <w:r w:rsidR="00607636" w:rsidRPr="00607636">
        <w:rPr>
          <w:b/>
          <w:iCs/>
        </w:rPr>
        <w:t>C</w:t>
      </w:r>
      <w:r w:rsidR="003D0877" w:rsidRPr="00607636">
        <w:rPr>
          <w:b/>
          <w:iCs/>
        </w:rPr>
        <w:t>onsiderations</w:t>
      </w:r>
      <w:r w:rsidR="003D0877">
        <w:rPr>
          <w:bCs/>
          <w:iCs/>
        </w:rPr>
        <w:t xml:space="preserve"> below for premedication advice. </w:t>
      </w:r>
    </w:p>
    <w:p w14:paraId="7E3AB7E0" w14:textId="3FA94536" w:rsidR="00EA1575" w:rsidRDefault="00EA1575" w:rsidP="00EA1575">
      <w:r>
        <w:t>Iron sucrose</w:t>
      </w:r>
      <w:r w:rsidR="00CE2539">
        <w:t xml:space="preserve"> (IS, VENOFER)</w:t>
      </w:r>
      <w:r>
        <w:t xml:space="preserve">: </w:t>
      </w:r>
      <w:r w:rsidR="009E5688" w:rsidRPr="009E5688">
        <w:rPr>
          <w:b/>
          <w:bCs/>
          <w:i/>
          <w:iCs/>
        </w:rPr>
        <w:t xml:space="preserve">Prepare </w:t>
      </w:r>
      <w:r w:rsidR="009E5688">
        <w:rPr>
          <w:b/>
          <w:bCs/>
          <w:i/>
          <w:iCs/>
        </w:rPr>
        <w:t>500 mg in 250 cc NS</w:t>
      </w:r>
      <w:r w:rsidR="004D337A">
        <w:rPr>
          <w:b/>
          <w:bCs/>
          <w:i/>
          <w:iCs/>
        </w:rPr>
        <w:t xml:space="preserve">. </w:t>
      </w:r>
      <w:r w:rsidR="00987391">
        <w:rPr>
          <w:b/>
          <w:bCs/>
          <w:i/>
          <w:iCs/>
        </w:rPr>
        <w:t>Administer full dose over 4 hours x 2 doses</w:t>
      </w:r>
      <w:r w:rsidR="00A21734">
        <w:rPr>
          <w:b/>
          <w:bCs/>
          <w:i/>
          <w:iCs/>
        </w:rPr>
        <w:t xml:space="preserve"> </w:t>
      </w:r>
      <w:r w:rsidR="0020411E">
        <w:rPr>
          <w:b/>
          <w:bCs/>
          <w:i/>
          <w:iCs/>
        </w:rPr>
        <w:t xml:space="preserve">given </w:t>
      </w:r>
      <w:r w:rsidR="00A21734">
        <w:rPr>
          <w:b/>
          <w:bCs/>
          <w:i/>
          <w:iCs/>
        </w:rPr>
        <w:t xml:space="preserve">a week apart. </w:t>
      </w:r>
      <w:r w:rsidR="00A21734" w:rsidRPr="00A21734">
        <w:t>Alternative dosing</w:t>
      </w:r>
      <w:r w:rsidR="0020411E">
        <w:rPr>
          <w:b/>
          <w:bCs/>
          <w:i/>
          <w:iCs/>
        </w:rPr>
        <w:t>:</w:t>
      </w:r>
      <w:r w:rsidR="0020411E" w:rsidRPr="0020411E">
        <w:t xml:space="preserve"> prepare</w:t>
      </w:r>
      <w:r w:rsidR="0020411E">
        <w:rPr>
          <w:b/>
          <w:bCs/>
          <w:i/>
          <w:iCs/>
        </w:rPr>
        <w:t xml:space="preserve"> </w:t>
      </w:r>
      <w:r w:rsidR="00A73358" w:rsidRPr="00A73358">
        <w:t xml:space="preserve">200 mg </w:t>
      </w:r>
      <w:r w:rsidR="0020411E">
        <w:t>i</w:t>
      </w:r>
      <w:r w:rsidR="00A73358" w:rsidRPr="00A73358">
        <w:t xml:space="preserve">n 100 </w:t>
      </w:r>
      <w:r w:rsidR="0020411E">
        <w:t xml:space="preserve">cc </w:t>
      </w:r>
      <w:r w:rsidR="00A73358" w:rsidRPr="00A73358">
        <w:t>NS</w:t>
      </w:r>
      <w:r w:rsidR="0020411E">
        <w:t xml:space="preserve">. Administer </w:t>
      </w:r>
      <w:r w:rsidR="00A73358" w:rsidRPr="00A73358">
        <w:t>over 30-90 min x 5 doses</w:t>
      </w:r>
      <w:r w:rsidR="0020411E">
        <w:t xml:space="preserve"> given</w:t>
      </w:r>
      <w:r w:rsidR="00A73358" w:rsidRPr="00A73358">
        <w:t xml:space="preserve"> QOD</w:t>
      </w:r>
      <w:r w:rsidR="0020411E">
        <w:t>.</w:t>
      </w:r>
    </w:p>
    <w:p w14:paraId="46DD2C10" w14:textId="0C35EC0D" w:rsidR="00261173" w:rsidRDefault="00CE2539" w:rsidP="006B05F3">
      <w:pPr>
        <w:rPr>
          <w:rFonts w:ascii="AdvOT3c2d9f11" w:hAnsi="AdvOT3c2d9f11" w:cs="AdvOT3c2d9f11"/>
          <w:color w:val="231F20"/>
          <w:sz w:val="20"/>
          <w:szCs w:val="20"/>
        </w:rPr>
      </w:pPr>
      <w:r>
        <w:t>Ferric</w:t>
      </w:r>
      <w:r w:rsidR="00EA1575">
        <w:t xml:space="preserve"> </w:t>
      </w:r>
      <w:proofErr w:type="spellStart"/>
      <w:r w:rsidR="00EA1575">
        <w:t>carboxymaltose</w:t>
      </w:r>
      <w:proofErr w:type="spellEnd"/>
      <w:r w:rsidR="00EA1575">
        <w:t xml:space="preserve">: (FCM, </w:t>
      </w:r>
      <w:r>
        <w:t xml:space="preserve">INJECTOFER, </w:t>
      </w:r>
      <w:proofErr w:type="spellStart"/>
      <w:r w:rsidR="00EA1575">
        <w:t>Ferinject</w:t>
      </w:r>
      <w:proofErr w:type="spellEnd"/>
      <w:r w:rsidR="00EA1575">
        <w:t>®)</w:t>
      </w:r>
      <w:r w:rsidR="00607636">
        <w:t xml:space="preserve">: </w:t>
      </w:r>
      <w:r w:rsidR="00CB3A99" w:rsidRPr="00607636">
        <w:rPr>
          <w:b/>
          <w:bCs/>
          <w:i/>
          <w:iCs/>
        </w:rPr>
        <w:t xml:space="preserve">Prepare </w:t>
      </w:r>
      <w:r w:rsidR="006B05F3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>750</w:t>
      </w:r>
      <w:r w:rsidR="00607636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 xml:space="preserve"> </w:t>
      </w:r>
      <w:r w:rsidR="00CB3A99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>mg</w:t>
      </w:r>
      <w:r w:rsidR="006B05F3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 xml:space="preserve"> </w:t>
      </w:r>
      <w:r w:rsidR="00607636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>i</w:t>
      </w:r>
      <w:r w:rsidR="006B05F3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>n 250</w:t>
      </w:r>
      <w:r w:rsidR="00607636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>cc NS. Administer full dose</w:t>
      </w:r>
      <w:r w:rsidR="006B05F3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 xml:space="preserve"> over 15-30 min x 2 doses </w:t>
      </w:r>
      <w:r w:rsidR="00607636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 xml:space="preserve">given </w:t>
      </w:r>
      <w:r w:rsidR="006B05F3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>a week apart</w:t>
      </w:r>
      <w:r w:rsidR="00607636" w:rsidRPr="00607636">
        <w:rPr>
          <w:rFonts w:ascii="AdvOT3c2d9f11" w:hAnsi="AdvOT3c2d9f11" w:cs="AdvOT3c2d9f11"/>
          <w:b/>
          <w:bCs/>
          <w:i/>
          <w:iCs/>
          <w:color w:val="231F20"/>
          <w:sz w:val="20"/>
          <w:szCs w:val="20"/>
        </w:rPr>
        <w:t>.</w:t>
      </w:r>
      <w:r w:rsidR="00A414F6" w:rsidRPr="00A414F6">
        <w:rPr>
          <w:rFonts w:ascii="AdvOT3c2d9f11" w:hAnsi="AdvOT3c2d9f11" w:cs="AdvOT3c2d9f11"/>
          <w:color w:val="231F20"/>
          <w:sz w:val="20"/>
          <w:szCs w:val="20"/>
        </w:rPr>
        <w:t xml:space="preserve"> </w:t>
      </w:r>
      <w:r w:rsidR="00A414F6">
        <w:rPr>
          <w:rFonts w:ascii="AdvOT3c2d9f11" w:hAnsi="AdvOT3c2d9f11" w:cs="AdvOT3c2d9f11"/>
          <w:color w:val="231F20"/>
          <w:sz w:val="20"/>
          <w:szCs w:val="20"/>
        </w:rPr>
        <w:t>D</w:t>
      </w:r>
      <w:r w:rsidR="00A414F6">
        <w:rPr>
          <w:rFonts w:ascii="AdvOT3c2d9f11" w:hAnsi="AdvOT3c2d9f11" w:cs="AdvOT3c2d9f11"/>
          <w:color w:val="231F20"/>
          <w:sz w:val="20"/>
          <w:szCs w:val="20"/>
        </w:rPr>
        <w:t xml:space="preserve">elayed </w:t>
      </w:r>
      <w:r w:rsidR="00A414F6">
        <w:rPr>
          <w:rFonts w:ascii="AdvOT3c2d9f11" w:hAnsi="AdvOT3c2d9f11" w:cs="AdvOT3c2d9f11"/>
          <w:color w:val="231F20"/>
          <w:sz w:val="20"/>
          <w:szCs w:val="20"/>
        </w:rPr>
        <w:t xml:space="preserve">reactions </w:t>
      </w:r>
      <w:r w:rsidR="00A414F6">
        <w:rPr>
          <w:rFonts w:ascii="AdvOT3c2d9f11" w:hAnsi="AdvOT3c2d9f11" w:cs="AdvOT3c2d9f11"/>
          <w:color w:val="231F20"/>
          <w:sz w:val="20"/>
          <w:szCs w:val="20"/>
        </w:rPr>
        <w:t>such as muscle weakness, fatigue and bone pain</w:t>
      </w:r>
      <w:r w:rsidR="00A414F6">
        <w:rPr>
          <w:rFonts w:ascii="AdvOT3c2d9f11" w:hAnsi="AdvOT3c2d9f11" w:cs="AdvOT3c2d9f11"/>
          <w:color w:val="231F20"/>
          <w:sz w:val="20"/>
          <w:szCs w:val="20"/>
        </w:rPr>
        <w:t xml:space="preserve"> due to low </w:t>
      </w:r>
      <w:r w:rsidR="00A414F6">
        <w:rPr>
          <w:rFonts w:ascii="AdvOT3c2d9f11" w:hAnsi="AdvOT3c2d9f11" w:cs="AdvOT3c2d9f11"/>
          <w:color w:val="231F20"/>
          <w:sz w:val="20"/>
          <w:szCs w:val="20"/>
        </w:rPr>
        <w:t xml:space="preserve">serum phosphate levels can occur with any IV iron but </w:t>
      </w:r>
      <w:r w:rsidR="00A414F6">
        <w:rPr>
          <w:rFonts w:ascii="AdvOT3c2d9f11" w:hAnsi="AdvOT3c2d9f11" w:cs="AdvOT3c2d9f11"/>
          <w:color w:val="231F20"/>
          <w:sz w:val="20"/>
          <w:szCs w:val="20"/>
        </w:rPr>
        <w:t>are mos</w:t>
      </w:r>
      <w:r w:rsidR="00A414F6">
        <w:rPr>
          <w:rFonts w:ascii="AdvOT3c2d9f11" w:hAnsi="AdvOT3c2d9f11" w:cs="AdvOT3c2d9f11"/>
          <w:color w:val="231F20"/>
          <w:sz w:val="20"/>
          <w:szCs w:val="20"/>
        </w:rPr>
        <w:t xml:space="preserve">t </w:t>
      </w:r>
      <w:r w:rsidR="00A414F6">
        <w:rPr>
          <w:rFonts w:ascii="AdvOT3c2d9f11" w:hAnsi="AdvOT3c2d9f11" w:cs="AdvOT3c2d9f11"/>
          <w:color w:val="231F20"/>
          <w:sz w:val="20"/>
          <w:szCs w:val="20"/>
        </w:rPr>
        <w:t xml:space="preserve">frequent </w:t>
      </w:r>
      <w:r w:rsidR="00A414F6">
        <w:rPr>
          <w:rFonts w:ascii="AdvOT3c2d9f11" w:hAnsi="AdvOT3c2d9f11" w:cs="AdvOT3c2d9f11"/>
          <w:color w:val="231F20"/>
          <w:sz w:val="20"/>
          <w:szCs w:val="20"/>
        </w:rPr>
        <w:t xml:space="preserve">with ferric </w:t>
      </w:r>
      <w:proofErr w:type="spellStart"/>
      <w:r w:rsidR="00A414F6">
        <w:rPr>
          <w:rFonts w:ascii="AdvOT3c2d9f11" w:hAnsi="AdvOT3c2d9f11" w:cs="AdvOT3c2d9f11"/>
          <w:color w:val="231F20"/>
          <w:sz w:val="20"/>
          <w:szCs w:val="20"/>
        </w:rPr>
        <w:t>carboxymaltose</w:t>
      </w:r>
      <w:proofErr w:type="spellEnd"/>
      <w:r w:rsidR="00261173">
        <w:rPr>
          <w:rFonts w:ascii="AdvOT3c2d9f11" w:hAnsi="AdvOT3c2d9f11" w:cs="AdvOT3c2d9f11"/>
          <w:color w:val="231F20"/>
          <w:sz w:val="20"/>
          <w:szCs w:val="20"/>
        </w:rPr>
        <w:t>.</w:t>
      </w:r>
    </w:p>
    <w:p w14:paraId="7380CF19" w14:textId="389DFD6A" w:rsidR="00261173" w:rsidRDefault="00261173" w:rsidP="006B05F3">
      <w:pPr>
        <w:rPr>
          <w:rFonts w:ascii="AdvOT3c2d9f11" w:hAnsi="AdvOT3c2d9f11" w:cs="AdvOT3c2d9f11"/>
          <w:color w:val="231F20"/>
          <w:sz w:val="20"/>
          <w:szCs w:val="20"/>
        </w:rPr>
      </w:pPr>
      <w:r>
        <w:rPr>
          <w:rFonts w:ascii="AdvOT3c2d9f11" w:hAnsi="AdvOT3c2d9f11" w:cs="AdvOT3c2d9f11"/>
          <w:color w:val="231F20"/>
          <w:sz w:val="20"/>
          <w:szCs w:val="20"/>
        </w:rPr>
        <w:t xml:space="preserve">***Preferred preparation in pregnancy. </w:t>
      </w:r>
    </w:p>
    <w:p w14:paraId="7F7EBA89" w14:textId="585AD54D" w:rsidR="00A5378B" w:rsidRPr="00EA1575" w:rsidRDefault="00442CA3" w:rsidP="00EA1575">
      <w:r w:rsidRPr="00442CA3">
        <w:rPr>
          <w:b/>
        </w:rPr>
        <w:t xml:space="preserve">Special Considerations: </w:t>
      </w:r>
    </w:p>
    <w:p w14:paraId="5D2E6E82" w14:textId="15F94A4F" w:rsidR="00442CA3" w:rsidRDefault="00EA1575" w:rsidP="00A5378B">
      <w:r>
        <w:t>-</w:t>
      </w:r>
      <w:r w:rsidRPr="00EA1575">
        <w:t>Fai</w:t>
      </w:r>
      <w:r w:rsidR="00A5378B" w:rsidRPr="00EA1575">
        <w:t>l</w:t>
      </w:r>
      <w:r w:rsidR="00A5378B" w:rsidRPr="00A5378B">
        <w:t xml:space="preserve">ure to respond to </w:t>
      </w:r>
      <w:r w:rsidR="00CE2539">
        <w:t xml:space="preserve">oral </w:t>
      </w:r>
      <w:r w:rsidR="00A5378B" w:rsidRPr="00A5378B">
        <w:t xml:space="preserve">iron therapy should prompt further investigation </w:t>
      </w:r>
      <w:r w:rsidR="00CE2539">
        <w:t xml:space="preserve">prior to prescribing IV iron replacement </w:t>
      </w:r>
      <w:r w:rsidR="00A5378B" w:rsidRPr="00A5378B">
        <w:t xml:space="preserve">and may suggest an incorrect diagnosis, coexisting disease, malabsorption (sometimes </w:t>
      </w:r>
      <w:r w:rsidR="00A5378B" w:rsidRPr="00A5378B">
        <w:lastRenderedPageBreak/>
        <w:t>caused by the use of enteric-coated tablets or concomitant use of antacids), noncompliance, or blood loss.</w:t>
      </w:r>
    </w:p>
    <w:p w14:paraId="09EFCA41" w14:textId="31CB594E" w:rsidR="00266473" w:rsidRDefault="00266473" w:rsidP="00266473">
      <w:r>
        <w:t>-</w:t>
      </w:r>
      <w:r w:rsidRPr="00266473">
        <w:t xml:space="preserve">-Intermittent oral iron dosing has been shown to be non-inferior to daily dosing in a small randomized non-inferiority trial of third trimester pregnant </w:t>
      </w:r>
      <w:r w:rsidR="00FB0704">
        <w:t xml:space="preserve">people </w:t>
      </w:r>
      <w:r w:rsidRPr="00266473">
        <w:t>presented at the Society for Maternal-Fetal Medicine’s 2021 Virtual Annual Meeting, Jan. 25 to Jan. 30, 2021.</w:t>
      </w:r>
    </w:p>
    <w:p w14:paraId="69E7778A" w14:textId="78C72C4C" w:rsidR="00CE2539" w:rsidRDefault="00266473" w:rsidP="00266473">
      <w:r>
        <w:t>-If premedication is performed due to multiple drug allergies</w:t>
      </w:r>
      <w:r w:rsidR="00AE0CE9">
        <w:t xml:space="preserve"> (2 or more), </w:t>
      </w:r>
      <w:r>
        <w:t xml:space="preserve">asthma, </w:t>
      </w:r>
      <w:r w:rsidR="00E84644">
        <w:t>his</w:t>
      </w:r>
      <w:r w:rsidR="003975B1">
        <w:t>to</w:t>
      </w:r>
      <w:r w:rsidR="00E84644">
        <w:t>ry of anaphylaxis</w:t>
      </w:r>
      <w:r w:rsidR="003975B1">
        <w:t xml:space="preserve">, </w:t>
      </w:r>
      <w:r>
        <w:t>steroids are recommended prior to iron infusion including: methylprednisolone 40-1</w:t>
      </w:r>
      <w:r w:rsidR="00FF55D9">
        <w:t>25</w:t>
      </w:r>
      <w:r>
        <w:t xml:space="preserve"> mg IV or hydrocortisone 50-100 mg IV.  In addition, acetaminophen</w:t>
      </w:r>
      <w:r w:rsidR="00C85800">
        <w:t xml:space="preserve"> (650 mg)</w:t>
      </w:r>
      <w:r>
        <w:t xml:space="preserve"> can be given.</w:t>
      </w:r>
      <w:r w:rsidR="00C90632">
        <w:t xml:space="preserve"> Diphenhydramine use should be avoided due to vasoconstrictive effects. </w:t>
      </w:r>
    </w:p>
    <w:p w14:paraId="277D50C7" w14:textId="2624BDE5" w:rsidR="00266473" w:rsidRDefault="00266473" w:rsidP="00266473">
      <w:r>
        <w:t>-</w:t>
      </w:r>
      <w:r w:rsidRPr="00266473">
        <w:t xml:space="preserve">If a minor infusion reaction including myalgias, arthralgias, hand swelling, nausea, or flushing (without other hypersensitivity symptoms) occurs, </w:t>
      </w:r>
      <w:r w:rsidR="00221F93">
        <w:t xml:space="preserve">stop the infusion and </w:t>
      </w:r>
      <w:r w:rsidR="00CF50AC">
        <w:t xml:space="preserve">monitor for </w:t>
      </w:r>
      <w:r w:rsidR="00EE726B">
        <w:t xml:space="preserve">15 minutes for </w:t>
      </w:r>
      <w:r w:rsidRPr="00266473">
        <w:t>symptom</w:t>
      </w:r>
      <w:r w:rsidR="00CF50AC">
        <w:t xml:space="preserve"> resolution</w:t>
      </w:r>
      <w:r w:rsidR="00EE726B">
        <w:t xml:space="preserve">. If symptoms resolve, resume the infusion at half </w:t>
      </w:r>
      <w:r w:rsidR="00B54167">
        <w:t xml:space="preserve">the </w:t>
      </w:r>
      <w:r w:rsidR="00EE726B">
        <w:t>rate</w:t>
      </w:r>
      <w:r w:rsidR="00CF7D7E">
        <w:t xml:space="preserve"> and if tolerated without symptom recurrence</w:t>
      </w:r>
      <w:r w:rsidR="004B4926">
        <w:t xml:space="preserve"> after 15 minutes, increase</w:t>
      </w:r>
      <w:r w:rsidR="00B54167">
        <w:t xml:space="preserve"> </w:t>
      </w:r>
      <w:r w:rsidR="004B4926">
        <w:t>slowly</w:t>
      </w:r>
      <w:r w:rsidRPr="00266473">
        <w:t xml:space="preserve"> </w:t>
      </w:r>
      <w:r w:rsidR="004B4926">
        <w:t>to the original rate</w:t>
      </w:r>
      <w:r w:rsidR="00B54167">
        <w:t>.</w:t>
      </w:r>
    </w:p>
    <w:p w14:paraId="466749EB" w14:textId="5A97D958" w:rsidR="00E42D57" w:rsidRDefault="00E42D57" w:rsidP="00A5378B">
      <w:r>
        <w:t>-</w:t>
      </w:r>
      <w:r w:rsidRPr="00E42D57">
        <w:t>-After the normalization of the Hgb values, oral iron administration should be continued for at least another 4–6 months until a ferritin level of roughly 50 ng/mL has been obtained. This is especially important in the postpartum and lactating population.</w:t>
      </w:r>
    </w:p>
    <w:p w14:paraId="3C3FF87E" w14:textId="27F03006" w:rsidR="00BD346E" w:rsidRDefault="00BC45CE" w:rsidP="00BC45CE">
      <w:pPr>
        <w:rPr>
          <w:b/>
        </w:rPr>
      </w:pPr>
      <w:r w:rsidRPr="00442CA3">
        <w:rPr>
          <w:b/>
        </w:rPr>
        <w:t>Refer</w:t>
      </w:r>
      <w:r w:rsidR="00A24504" w:rsidRPr="00442CA3">
        <w:rPr>
          <w:b/>
        </w:rPr>
        <w:t>ence</w:t>
      </w:r>
      <w:r w:rsidR="00D07A55">
        <w:rPr>
          <w:b/>
        </w:rPr>
        <w:t>s:</w:t>
      </w:r>
    </w:p>
    <w:p w14:paraId="549614B0" w14:textId="2504B993" w:rsidR="00061FDB" w:rsidRPr="00061FDB" w:rsidRDefault="00061FDB" w:rsidP="00061FDB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61FDB">
        <w:rPr>
          <w:rFonts w:ascii="Calibri" w:eastAsia="Calibri" w:hAnsi="Calibri" w:cs="Times New Roman"/>
        </w:rPr>
        <w:t xml:space="preserve">Anemia in Pregnancy. ACOG Practice Bulletin No.233. American College of Obstetricians and Gynecologists. </w:t>
      </w:r>
      <w:proofErr w:type="spellStart"/>
      <w:r w:rsidRPr="00061FDB">
        <w:rPr>
          <w:rFonts w:ascii="Calibri" w:eastAsia="Calibri" w:hAnsi="Calibri" w:cs="Times New Roman"/>
        </w:rPr>
        <w:t>Obstet</w:t>
      </w:r>
      <w:proofErr w:type="spellEnd"/>
      <w:r w:rsidRPr="00061FDB">
        <w:rPr>
          <w:rFonts w:ascii="Calibri" w:eastAsia="Calibri" w:hAnsi="Calibri" w:cs="Times New Roman"/>
        </w:rPr>
        <w:t xml:space="preserve"> </w:t>
      </w:r>
      <w:proofErr w:type="spellStart"/>
      <w:r w:rsidRPr="00061FDB">
        <w:rPr>
          <w:rFonts w:ascii="Calibri" w:eastAsia="Calibri" w:hAnsi="Calibri" w:cs="Times New Roman"/>
        </w:rPr>
        <w:t>Gynecol</w:t>
      </w:r>
      <w:proofErr w:type="spellEnd"/>
      <w:r w:rsidRPr="00061FDB">
        <w:rPr>
          <w:rFonts w:ascii="Calibri" w:eastAsia="Calibri" w:hAnsi="Calibri" w:cs="Times New Roman"/>
        </w:rPr>
        <w:t xml:space="preserve"> 2021; 138 (2).e55-64.. </w:t>
      </w:r>
    </w:p>
    <w:p w14:paraId="1CA488B8" w14:textId="77777777" w:rsidR="00061FDB" w:rsidRPr="00061FDB" w:rsidRDefault="00061FDB" w:rsidP="00061FDB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061FDB">
        <w:rPr>
          <w:rFonts w:ascii="Calibri" w:eastAsia="Calibri" w:hAnsi="Calibri" w:cs="Times New Roman"/>
        </w:rPr>
        <w:t xml:space="preserve">California Maternal Quality Care Collaborative (CMQCC).  OB hemorrhage Toolkit V3.0:  </w:t>
      </w:r>
      <w:r w:rsidRPr="00061FDB">
        <w:rPr>
          <w:rFonts w:ascii="AdvOT3c2d9f11" w:hAnsi="AdvOT3c2d9f11" w:cs="AdvOT3c2d9f11"/>
          <w:color w:val="231F20"/>
          <w:sz w:val="20"/>
          <w:szCs w:val="20"/>
        </w:rPr>
        <w:t>Management of Iron Deficiency Anemia. July 2022.</w:t>
      </w:r>
    </w:p>
    <w:p w14:paraId="30B7E70A" w14:textId="77777777" w:rsidR="00266473" w:rsidRDefault="00266473" w:rsidP="00266473">
      <w:pPr>
        <w:pStyle w:val="ListParagraph"/>
        <w:numPr>
          <w:ilvl w:val="0"/>
          <w:numId w:val="1"/>
        </w:numPr>
      </w:pPr>
      <w:r>
        <w:t xml:space="preserve">C </w:t>
      </w:r>
      <w:proofErr w:type="spellStart"/>
      <w:r>
        <w:t>Camaschella</w:t>
      </w:r>
      <w:proofErr w:type="spellEnd"/>
      <w:r>
        <w:t xml:space="preserve">. Iron Deficiency. Blood® 3 JANUARY 2019 | VOLUME 133, NUMBER 1. </w:t>
      </w:r>
    </w:p>
    <w:p w14:paraId="22ED24C0" w14:textId="7EFB438E" w:rsidR="00266473" w:rsidRDefault="00266473" w:rsidP="00266473">
      <w:pPr>
        <w:pStyle w:val="ListParagraph"/>
        <w:numPr>
          <w:ilvl w:val="0"/>
          <w:numId w:val="1"/>
        </w:numPr>
      </w:pPr>
      <w:r>
        <w:t xml:space="preserve">Garzon, S et al. Iron Deficiency Anemia in Pregnancy: Novel Approaches for an Old Problem Oman Medical Journal [2020], Vol. 35, No. 5: e166. </w:t>
      </w:r>
    </w:p>
    <w:p w14:paraId="70543D64" w14:textId="77777777" w:rsidR="00266473" w:rsidRDefault="00266473" w:rsidP="00266473">
      <w:pPr>
        <w:pStyle w:val="ListParagraph"/>
        <w:numPr>
          <w:ilvl w:val="0"/>
          <w:numId w:val="1"/>
        </w:numPr>
      </w:pPr>
      <w:r>
        <w:t>Auerbach M and Adamson J. How We Diagnose and Treat Iron Deficiency Anemia.  Am J Hematology 2016;91(1):31-39.</w:t>
      </w:r>
    </w:p>
    <w:p w14:paraId="1E42D8A9" w14:textId="77777777" w:rsidR="00266473" w:rsidRDefault="00266473" w:rsidP="00266473">
      <w:pPr>
        <w:pStyle w:val="ListParagraph"/>
        <w:numPr>
          <w:ilvl w:val="0"/>
          <w:numId w:val="1"/>
        </w:numPr>
      </w:pPr>
      <w:r>
        <w:t xml:space="preserve">Myers B, Myers A, Moore J. Comparative efficacy and safety of intravenous ferric </w:t>
      </w:r>
      <w:proofErr w:type="spellStart"/>
      <w:r>
        <w:t>carboxymaltose</w:t>
      </w:r>
      <w:proofErr w:type="spellEnd"/>
      <w:r>
        <w:t xml:space="preserve"> and iron(III) hydroxide dextran in pregnancy. </w:t>
      </w:r>
      <w:proofErr w:type="spellStart"/>
      <w:r>
        <w:t>Obstet</w:t>
      </w:r>
      <w:proofErr w:type="spellEnd"/>
      <w:r>
        <w:t xml:space="preserve"> Med 2012;5:105–107.</w:t>
      </w:r>
    </w:p>
    <w:p w14:paraId="693D8B68" w14:textId="77777777" w:rsidR="00266473" w:rsidRDefault="00266473" w:rsidP="00266473">
      <w:pPr>
        <w:pStyle w:val="ListParagraph"/>
        <w:numPr>
          <w:ilvl w:val="0"/>
          <w:numId w:val="1"/>
        </w:numPr>
      </w:pPr>
      <w:r>
        <w:t xml:space="preserve">Christoph P, Schuller C, Studer H, et al. Intravenous iron treatment in pregnancy: Comparison of high-dose ferric </w:t>
      </w:r>
      <w:proofErr w:type="spellStart"/>
      <w:r>
        <w:t>carboxymaltose</w:t>
      </w:r>
      <w:proofErr w:type="spellEnd"/>
      <w:r>
        <w:t xml:space="preserve"> vs. iron sucrose. J Perinat Med 2012;40:469–474. </w:t>
      </w:r>
    </w:p>
    <w:p w14:paraId="389F9A2A" w14:textId="77777777" w:rsidR="00266473" w:rsidRDefault="00266473" w:rsidP="00266473">
      <w:pPr>
        <w:pStyle w:val="ListParagraph"/>
        <w:numPr>
          <w:ilvl w:val="0"/>
          <w:numId w:val="1"/>
        </w:numPr>
      </w:pPr>
      <w:proofErr w:type="spellStart"/>
      <w:r>
        <w:t>Chritchley</w:t>
      </w:r>
      <w:proofErr w:type="spellEnd"/>
      <w:r>
        <w:t xml:space="preserve"> J, Dunbar Y. Adverse events associated with intravenous iron infusion (low – molecular weight iron dextran and iron sucrose): A systematic review. </w:t>
      </w:r>
      <w:proofErr w:type="spellStart"/>
      <w:r>
        <w:t>Transfus</w:t>
      </w:r>
      <w:proofErr w:type="spellEnd"/>
      <w:r>
        <w:t xml:space="preserve"> Altern </w:t>
      </w:r>
      <w:proofErr w:type="spellStart"/>
      <w:r>
        <w:t>Transfus</w:t>
      </w:r>
      <w:proofErr w:type="spellEnd"/>
      <w:r>
        <w:t xml:space="preserve"> Med 2007;9:8–36. </w:t>
      </w:r>
    </w:p>
    <w:p w14:paraId="32B781E3" w14:textId="04AB3F14" w:rsidR="00266473" w:rsidRPr="00B6239F" w:rsidRDefault="00266473" w:rsidP="00266473">
      <w:pPr>
        <w:pStyle w:val="ListParagraph"/>
        <w:numPr>
          <w:ilvl w:val="0"/>
          <w:numId w:val="1"/>
        </w:numPr>
      </w:pPr>
      <w:proofErr w:type="spellStart"/>
      <w:r>
        <w:t>Froessler</w:t>
      </w:r>
      <w:proofErr w:type="spellEnd"/>
      <w:r>
        <w:t xml:space="preserve"> B, Collingwood J. </w:t>
      </w:r>
      <w:proofErr w:type="spellStart"/>
      <w:r>
        <w:t>Hodyl</w:t>
      </w:r>
      <w:proofErr w:type="spellEnd"/>
      <w:r>
        <w:t xml:space="preserve">. Intravenous ferric </w:t>
      </w:r>
      <w:proofErr w:type="spellStart"/>
      <w:r>
        <w:t>carboxymaltose</w:t>
      </w:r>
      <w:proofErr w:type="spellEnd"/>
      <w:r>
        <w:t xml:space="preserve"> for </w:t>
      </w:r>
      <w:proofErr w:type="spellStart"/>
      <w:r>
        <w:t>anaemia</w:t>
      </w:r>
      <w:proofErr w:type="spellEnd"/>
      <w:r>
        <w:t xml:space="preserve"> pregnancy. BMC Pregnancy Childbirth 2014;14:115–119.</w:t>
      </w:r>
    </w:p>
    <w:p w14:paraId="189092DF" w14:textId="15BA52AC" w:rsidR="002242E7" w:rsidRDefault="002242E7" w:rsidP="00BC45CE">
      <w:pPr>
        <w:rPr>
          <w:i/>
        </w:rPr>
      </w:pPr>
      <w:r>
        <w:rPr>
          <w:i/>
        </w:rPr>
        <w:t>Reviewed: 14 April 20</w:t>
      </w:r>
      <w:r w:rsidRPr="002242E7">
        <w:rPr>
          <w:i/>
        </w:rPr>
        <w:t>17</w:t>
      </w:r>
    </w:p>
    <w:p w14:paraId="30DA182A" w14:textId="612DC3E6" w:rsidR="00472033" w:rsidRDefault="00266473" w:rsidP="00BC45CE">
      <w:pPr>
        <w:rPr>
          <w:i/>
        </w:rPr>
      </w:pPr>
      <w:r w:rsidRPr="00266473">
        <w:rPr>
          <w:i/>
        </w:rPr>
        <w:lastRenderedPageBreak/>
        <w:t>Revised</w:t>
      </w:r>
      <w:r w:rsidR="00BC45CE" w:rsidRPr="00266473">
        <w:rPr>
          <w:i/>
        </w:rPr>
        <w:t xml:space="preserve">: </w:t>
      </w:r>
      <w:r w:rsidRPr="00266473">
        <w:rPr>
          <w:i/>
        </w:rPr>
        <w:t>15 February 2021</w:t>
      </w:r>
    </w:p>
    <w:p w14:paraId="33C14218" w14:textId="41251614" w:rsidR="00FB0704" w:rsidRDefault="00061FDB" w:rsidP="00BC45CE">
      <w:pPr>
        <w:rPr>
          <w:i/>
        </w:rPr>
      </w:pPr>
      <w:r>
        <w:rPr>
          <w:i/>
        </w:rPr>
        <w:t>Revis</w:t>
      </w:r>
      <w:r w:rsidR="00FB0704">
        <w:rPr>
          <w:i/>
        </w:rPr>
        <w:t>ed</w:t>
      </w:r>
      <w:r>
        <w:rPr>
          <w:i/>
        </w:rPr>
        <w:t>:</w:t>
      </w:r>
      <w:r w:rsidR="00FB0704">
        <w:rPr>
          <w:i/>
        </w:rPr>
        <w:t xml:space="preserve"> 31 March 2022</w:t>
      </w:r>
    </w:p>
    <w:p w14:paraId="5CCCFDEE" w14:textId="3FFFD914" w:rsidR="00061FDB" w:rsidRPr="00266473" w:rsidRDefault="00061FDB" w:rsidP="00BC45CE">
      <w:pPr>
        <w:rPr>
          <w:i/>
        </w:rPr>
      </w:pPr>
      <w:r>
        <w:rPr>
          <w:i/>
        </w:rPr>
        <w:t xml:space="preserve">Revised: April 2023 </w:t>
      </w:r>
    </w:p>
    <w:sectPr w:rsidR="00061FDB" w:rsidRPr="0026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OT3c2d9f1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0A46"/>
    <w:multiLevelType w:val="hybridMultilevel"/>
    <w:tmpl w:val="DDCA4712"/>
    <w:lvl w:ilvl="0" w:tplc="EBEC5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033"/>
    <w:rsid w:val="00061FDB"/>
    <w:rsid w:val="00087076"/>
    <w:rsid w:val="000B38AC"/>
    <w:rsid w:val="00171C2D"/>
    <w:rsid w:val="0017531E"/>
    <w:rsid w:val="001E03F6"/>
    <w:rsid w:val="0020411E"/>
    <w:rsid w:val="00206A19"/>
    <w:rsid w:val="00221F93"/>
    <w:rsid w:val="002242E7"/>
    <w:rsid w:val="00261173"/>
    <w:rsid w:val="00266473"/>
    <w:rsid w:val="003975B1"/>
    <w:rsid w:val="003C73E6"/>
    <w:rsid w:val="003D0877"/>
    <w:rsid w:val="0043474D"/>
    <w:rsid w:val="00442CA3"/>
    <w:rsid w:val="00472033"/>
    <w:rsid w:val="004A2EC4"/>
    <w:rsid w:val="004A6852"/>
    <w:rsid w:val="004B4926"/>
    <w:rsid w:val="004D337A"/>
    <w:rsid w:val="00556B6D"/>
    <w:rsid w:val="00567D96"/>
    <w:rsid w:val="005760DF"/>
    <w:rsid w:val="00607636"/>
    <w:rsid w:val="0061429D"/>
    <w:rsid w:val="006B05F3"/>
    <w:rsid w:val="006F7117"/>
    <w:rsid w:val="00707643"/>
    <w:rsid w:val="008739DC"/>
    <w:rsid w:val="00887133"/>
    <w:rsid w:val="00894B08"/>
    <w:rsid w:val="008F1DC5"/>
    <w:rsid w:val="009053DE"/>
    <w:rsid w:val="00973443"/>
    <w:rsid w:val="00987391"/>
    <w:rsid w:val="009B2652"/>
    <w:rsid w:val="009B707E"/>
    <w:rsid w:val="009E5688"/>
    <w:rsid w:val="00A01AED"/>
    <w:rsid w:val="00A10119"/>
    <w:rsid w:val="00A21734"/>
    <w:rsid w:val="00A24504"/>
    <w:rsid w:val="00A36004"/>
    <w:rsid w:val="00A414F6"/>
    <w:rsid w:val="00A5378B"/>
    <w:rsid w:val="00A56F71"/>
    <w:rsid w:val="00A73358"/>
    <w:rsid w:val="00AE0CE9"/>
    <w:rsid w:val="00AE2883"/>
    <w:rsid w:val="00B1328E"/>
    <w:rsid w:val="00B54167"/>
    <w:rsid w:val="00B6239F"/>
    <w:rsid w:val="00B667DB"/>
    <w:rsid w:val="00BC45CE"/>
    <w:rsid w:val="00BD346E"/>
    <w:rsid w:val="00C85800"/>
    <w:rsid w:val="00C90632"/>
    <w:rsid w:val="00CB3A99"/>
    <w:rsid w:val="00CC641E"/>
    <w:rsid w:val="00CE2539"/>
    <w:rsid w:val="00CF50AC"/>
    <w:rsid w:val="00CF7D7E"/>
    <w:rsid w:val="00D07A55"/>
    <w:rsid w:val="00D47F9A"/>
    <w:rsid w:val="00E15835"/>
    <w:rsid w:val="00E42D57"/>
    <w:rsid w:val="00E84644"/>
    <w:rsid w:val="00E957E8"/>
    <w:rsid w:val="00EA1575"/>
    <w:rsid w:val="00EE726B"/>
    <w:rsid w:val="00F11E02"/>
    <w:rsid w:val="00F640BA"/>
    <w:rsid w:val="00FA3525"/>
    <w:rsid w:val="00FB0704"/>
    <w:rsid w:val="00FB0BFC"/>
    <w:rsid w:val="00FE4CE7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4D487"/>
  <w15:docId w15:val="{94A0986C-F738-4C2F-AD81-E44EBBBE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A2F7B6B87D046A4569EDB5EC3D953" ma:contentTypeVersion="5" ma:contentTypeDescription="Create a new document." ma:contentTypeScope="" ma:versionID="7aa37f5d8e63fbb4c9bffd705b1f77fa">
  <xsd:schema xmlns:xsd="http://www.w3.org/2001/XMLSchema" xmlns:xs="http://www.w3.org/2001/XMLSchema" xmlns:p="http://schemas.microsoft.com/office/2006/metadata/properties" xmlns:ns2="6d696406-7ded-4c13-8655-0cec641103b4" xmlns:ns3="010860ef-98ad-49dc-903c-6fb0003e164d" targetNamespace="http://schemas.microsoft.com/office/2006/metadata/properties" ma:root="true" ma:fieldsID="994e095d0f7cde10fca215324cdd1460" ns2:_="" ns3:_="">
    <xsd:import namespace="6d696406-7ded-4c13-8655-0cec641103b4"/>
    <xsd:import namespace="010860ef-98ad-49dc-903c-6fb0003e1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6406-7ded-4c13-8655-0cec6411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860ef-98ad-49dc-903c-6fb0003e1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014657-1544-4CC0-9024-E64D7303C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6406-7ded-4c13-8655-0cec641103b4"/>
    <ds:schemaRef ds:uri="010860ef-98ad-49dc-903c-6fb0003e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C6CC1-912A-4E44-A968-B63C377AB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183F47-073C-4406-8882-8FE9B49BF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MAHEC</Company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Coulson</dc:creator>
  <cp:lastModifiedBy>Carol Coulson</cp:lastModifiedBy>
  <cp:revision>69</cp:revision>
  <cp:lastPrinted>2016-05-06T16:03:00Z</cp:lastPrinted>
  <dcterms:created xsi:type="dcterms:W3CDTF">2016-05-06T16:03:00Z</dcterms:created>
  <dcterms:modified xsi:type="dcterms:W3CDTF">2023-04-23T14:37:00Z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0x01010085BA2F7B6B87D046A4569EDB5EC3D953</vt:lpwstr>
  </property>
  <property fmtid="{D5CDD505-2E9C-101B-9397-08002B2CF9AE}" pid="3" name="Order">
    <vt:r8>1350800</vt:r8>
  </property>
</Properties>
</file>