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D4" w:rsidRDefault="009D13D4" w:rsidP="009D13D4">
      <w:r>
        <w:t>TITLE: Headache in Pregnancy</w:t>
      </w:r>
    </w:p>
    <w:p w:rsidR="009D13D4" w:rsidRDefault="009D13D4" w:rsidP="009D13D4">
      <w:r>
        <w:t xml:space="preserve">Subtitle: </w:t>
      </w:r>
      <w:r w:rsidR="0000675D">
        <w:t>Prevention of primary headache</w:t>
      </w:r>
    </w:p>
    <w:p w:rsidR="009D13D4" w:rsidRDefault="009D13D4" w:rsidP="009D13D4">
      <w:r>
        <w:t xml:space="preserve">SUMMARY: </w:t>
      </w:r>
      <w:r w:rsidR="00314027" w:rsidRPr="00314027">
        <w:t xml:space="preserve">Patients often report improvement in primary HA during pregnancy.  </w:t>
      </w:r>
      <w:bookmarkStart w:id="0" w:name="_GoBack"/>
      <w:bookmarkEnd w:id="0"/>
      <w:r w:rsidR="001C6FE2">
        <w:t>A patient’s “u</w:t>
      </w:r>
      <w:r w:rsidR="0000675D">
        <w:t>sual” med</w:t>
      </w:r>
      <w:r w:rsidR="001C6FE2">
        <w:t>i</w:t>
      </w:r>
      <w:r w:rsidR="0000675D">
        <w:t xml:space="preserve">cations </w:t>
      </w:r>
      <w:r w:rsidR="001C6FE2">
        <w:t xml:space="preserve">for primary HA prevention </w:t>
      </w:r>
      <w:r w:rsidR="0000675D">
        <w:t>should be reviewed</w:t>
      </w:r>
      <w:r w:rsidR="001C6FE2">
        <w:t xml:space="preserve"> for safety in pregnancy and consideration may be given to continuing, decreasing, stopping, or changing treatment. Non-pharmacologic options should also be explored. </w:t>
      </w:r>
    </w:p>
    <w:p w:rsidR="009D13D4" w:rsidRDefault="009D13D4" w:rsidP="009D13D4">
      <w:r>
        <w:t xml:space="preserve">Rationale: </w:t>
      </w:r>
      <w:r w:rsidR="001C6FE2" w:rsidRPr="001C6FE2">
        <w:t xml:space="preserve">The 3 primary headache (HA) disorders including migraine, tension, and cluster type, along with other trigeminal autonomic </w:t>
      </w:r>
      <w:proofErr w:type="spellStart"/>
      <w:r w:rsidR="001C6FE2" w:rsidRPr="001C6FE2">
        <w:t>cephalgias</w:t>
      </w:r>
      <w:proofErr w:type="spellEnd"/>
      <w:r w:rsidR="001C6FE2" w:rsidRPr="001C6FE2">
        <w:t xml:space="preserve"> account for 90% of recurring and chronic HA in reproductive age women. HA decreases in pregnancy for 30-80 % of sufferers with a greater reduction reported for migraine than tension-type HA.</w:t>
      </w:r>
      <w:r w:rsidR="001C6FE2">
        <w:t xml:space="preserve"> </w:t>
      </w:r>
      <w:r w:rsidR="00403A71">
        <w:t>Nonetheless, some patients experience such disruptive or numerous HA that</w:t>
      </w:r>
      <w:r w:rsidR="001A41AB">
        <w:t xml:space="preserve"> frequent acute medication use exposes the patient to risk for rebound or medication overuse HA and prophylactic medication should be considered.</w:t>
      </w:r>
      <w:r w:rsidR="00403A71">
        <w:t xml:space="preserve"> </w:t>
      </w:r>
    </w:p>
    <w:p w:rsidR="009D13D4" w:rsidRDefault="009D13D4" w:rsidP="009D13D4">
      <w:r>
        <w:t xml:space="preserve">Eligible patients: </w:t>
      </w:r>
      <w:r w:rsidR="001C6FE2">
        <w:t>Pregnant patients with known migraine, tension, or cluster HA preceding pregnancy</w:t>
      </w:r>
      <w:r w:rsidR="00403A71">
        <w:t>, disruptive or</w:t>
      </w:r>
      <w:r w:rsidR="001C6FE2">
        <w:t xml:space="preserve"> frequent enough to warrant prevention strategies</w:t>
      </w:r>
      <w:r w:rsidR="001A41AB">
        <w:t xml:space="preserve"> prior to or during pregnancy</w:t>
      </w:r>
      <w:r w:rsidR="001C6FE2">
        <w:t>.</w:t>
      </w:r>
    </w:p>
    <w:p w:rsidR="009D13D4" w:rsidRDefault="009D13D4" w:rsidP="009D13D4">
      <w:r>
        <w:t xml:space="preserve">Contraindications: </w:t>
      </w:r>
      <w:r w:rsidR="001C6FE2">
        <w:t>Pregnant people with secondary HA which can result from exacerbation of a preexisting medical condition, the initial manifestation of a primary central nervous system-related problem</w:t>
      </w:r>
      <w:r w:rsidR="00403A71">
        <w:t xml:space="preserve"> or a neurologic problem unique to pregnancy. </w:t>
      </w:r>
    </w:p>
    <w:p w:rsidR="00403A71" w:rsidRDefault="009D13D4" w:rsidP="009D13D4">
      <w:r>
        <w:t xml:space="preserve">Technique: </w:t>
      </w:r>
    </w:p>
    <w:p w:rsidR="009D13D4" w:rsidRDefault="00403A71" w:rsidP="00403A71">
      <w:pPr>
        <w:pStyle w:val="ListParagraph"/>
        <w:numPr>
          <w:ilvl w:val="0"/>
          <w:numId w:val="1"/>
        </w:numPr>
      </w:pPr>
      <w:proofErr w:type="spellStart"/>
      <w:r>
        <w:t>Nonpharmacologic</w:t>
      </w:r>
      <w:proofErr w:type="spellEnd"/>
      <w:r>
        <w:t xml:space="preserve"> interventions: limited data to support use but appear safe in pregnancy</w:t>
      </w:r>
    </w:p>
    <w:p w:rsidR="00403A71" w:rsidRDefault="00403A71" w:rsidP="00403A71">
      <w:pPr>
        <w:pStyle w:val="ListParagraph"/>
        <w:numPr>
          <w:ilvl w:val="1"/>
          <w:numId w:val="1"/>
        </w:numPr>
      </w:pPr>
      <w:r>
        <w:t>Lifestyle modifications such adequate hydration and sleep, stress management, relaxation techniques, avoidance of triggers, cognitive behavioral therapy</w:t>
      </w:r>
    </w:p>
    <w:p w:rsidR="00403A71" w:rsidRDefault="00403A71" w:rsidP="00403A71">
      <w:pPr>
        <w:pStyle w:val="ListParagraph"/>
        <w:numPr>
          <w:ilvl w:val="1"/>
          <w:numId w:val="1"/>
        </w:numPr>
      </w:pPr>
      <w:proofErr w:type="spellStart"/>
      <w:r>
        <w:t>Accupuncture</w:t>
      </w:r>
      <w:proofErr w:type="spellEnd"/>
    </w:p>
    <w:p w:rsidR="00403A71" w:rsidRDefault="00403A71" w:rsidP="00403A71">
      <w:pPr>
        <w:pStyle w:val="ListParagraph"/>
        <w:numPr>
          <w:ilvl w:val="1"/>
          <w:numId w:val="1"/>
        </w:numPr>
      </w:pPr>
      <w:r>
        <w:t>Biofeedback</w:t>
      </w:r>
    </w:p>
    <w:p w:rsidR="00403A71" w:rsidRDefault="00403A71" w:rsidP="00403A71">
      <w:pPr>
        <w:pStyle w:val="ListParagraph"/>
        <w:numPr>
          <w:ilvl w:val="0"/>
          <w:numId w:val="1"/>
        </w:numPr>
      </w:pPr>
      <w:r>
        <w:t>Medications</w:t>
      </w:r>
      <w:r w:rsidR="001A41AB">
        <w:t xml:space="preserve">- no published data for HA prevention </w:t>
      </w:r>
      <w:r w:rsidR="004854AE">
        <w:t xml:space="preserve">efficacy </w:t>
      </w:r>
      <w:r w:rsidR="001A41AB">
        <w:t xml:space="preserve">but </w:t>
      </w:r>
      <w:r w:rsidR="004854AE">
        <w:t>appear safe in pregnancy based on use</w:t>
      </w:r>
      <w:r w:rsidR="001A41AB">
        <w:t xml:space="preserve"> in other conditions</w:t>
      </w:r>
      <w:r w:rsidR="004854AE">
        <w:t xml:space="preserve"> </w:t>
      </w:r>
    </w:p>
    <w:p w:rsidR="001A41AB" w:rsidRDefault="001A41AB" w:rsidP="00403A71">
      <w:pPr>
        <w:pStyle w:val="ListParagraph"/>
        <w:numPr>
          <w:ilvl w:val="1"/>
          <w:numId w:val="1"/>
        </w:numPr>
      </w:pPr>
      <w:r>
        <w:t>First Line</w:t>
      </w:r>
    </w:p>
    <w:p w:rsidR="00403A71" w:rsidRDefault="001A41AB" w:rsidP="001A41AB">
      <w:pPr>
        <w:pStyle w:val="ListParagraph"/>
        <w:numPr>
          <w:ilvl w:val="2"/>
          <w:numId w:val="1"/>
        </w:numPr>
      </w:pPr>
      <w:r>
        <w:t>Antihistamines</w:t>
      </w:r>
      <w:r w:rsidR="004854AE">
        <w:t>: diphenhydramine</w:t>
      </w:r>
    </w:p>
    <w:p w:rsidR="001A41AB" w:rsidRDefault="001A41AB" w:rsidP="004854AE">
      <w:pPr>
        <w:pStyle w:val="ListParagraph"/>
        <w:numPr>
          <w:ilvl w:val="2"/>
          <w:numId w:val="1"/>
        </w:numPr>
      </w:pPr>
      <w:r>
        <w:t xml:space="preserve">Calcium channel blockers: amlodipine, </w:t>
      </w:r>
      <w:proofErr w:type="spellStart"/>
      <w:r>
        <w:t>nifedipine</w:t>
      </w:r>
      <w:proofErr w:type="spellEnd"/>
      <w:r>
        <w:t>, verapamil</w:t>
      </w:r>
    </w:p>
    <w:p w:rsidR="004854AE" w:rsidRDefault="004854AE" w:rsidP="004854AE">
      <w:pPr>
        <w:pStyle w:val="ListParagraph"/>
        <w:numPr>
          <w:ilvl w:val="2"/>
          <w:numId w:val="1"/>
        </w:numPr>
      </w:pPr>
      <w:r>
        <w:t>Magnesium</w:t>
      </w:r>
    </w:p>
    <w:p w:rsidR="004854AE" w:rsidRDefault="004854AE" w:rsidP="004854AE">
      <w:pPr>
        <w:pStyle w:val="ListParagraph"/>
        <w:numPr>
          <w:ilvl w:val="1"/>
          <w:numId w:val="1"/>
        </w:numPr>
      </w:pPr>
      <w:r>
        <w:t>Beta blockers: metoprolol, labetalol, propranolol</w:t>
      </w:r>
    </w:p>
    <w:p w:rsidR="004854AE" w:rsidRDefault="009D13D4" w:rsidP="009D13D4">
      <w:r>
        <w:t xml:space="preserve">Special Considerations: </w:t>
      </w:r>
    </w:p>
    <w:p w:rsidR="009D13D4" w:rsidRDefault="004854AE" w:rsidP="004854AE">
      <w:pPr>
        <w:pStyle w:val="ListParagraph"/>
        <w:numPr>
          <w:ilvl w:val="0"/>
          <w:numId w:val="2"/>
        </w:numPr>
      </w:pPr>
      <w:r w:rsidRPr="004854AE">
        <w:t>Tricyclic antidepressants, SNRIs, and antiepileptic medications require exhaustion of other strategies and acceptance of higher fetal and neonatal risks. Recommend neurology consultation before using</w:t>
      </w:r>
    </w:p>
    <w:p w:rsidR="004854AE" w:rsidRDefault="004854AE" w:rsidP="004854AE">
      <w:pPr>
        <w:pStyle w:val="ListParagraph"/>
        <w:numPr>
          <w:ilvl w:val="0"/>
          <w:numId w:val="2"/>
        </w:numPr>
      </w:pPr>
      <w:r>
        <w:t>A patient with a pre-existing HA disorder who presents with a change in HA intensity</w:t>
      </w:r>
      <w:r w:rsidR="004D5374">
        <w:t xml:space="preserve"> or quality, or new onset neurological symptoms must be considered to have a secondary HA and requires a different evaluation and treatment paradigm.</w:t>
      </w:r>
    </w:p>
    <w:p w:rsidR="009D13D4" w:rsidRDefault="009D13D4" w:rsidP="009D13D4">
      <w:r>
        <w:t>References:</w:t>
      </w:r>
      <w:r w:rsidR="004D5374">
        <w:t xml:space="preserve"> ACOG Clinical Practice Guideline No. 3: Headache in Pregnancy and Postpartum. </w:t>
      </w:r>
      <w:proofErr w:type="spellStart"/>
      <w:r w:rsidR="004D5374">
        <w:t>Obstet</w:t>
      </w:r>
      <w:proofErr w:type="spellEnd"/>
      <w:r w:rsidR="004D5374">
        <w:t xml:space="preserve"> </w:t>
      </w:r>
      <w:proofErr w:type="spellStart"/>
      <w:r w:rsidR="004D5374">
        <w:t>Gynecol</w:t>
      </w:r>
      <w:proofErr w:type="spellEnd"/>
      <w:r w:rsidR="004D5374">
        <w:t xml:space="preserve"> 139 (5): 944-972. May 2022. </w:t>
      </w:r>
    </w:p>
    <w:p w:rsidR="005D592C" w:rsidRDefault="004D5374" w:rsidP="009D13D4">
      <w:r>
        <w:lastRenderedPageBreak/>
        <w:t>Reviewed: 6/6/ 2022</w:t>
      </w:r>
    </w:p>
    <w:sectPr w:rsidR="005D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35F6"/>
    <w:multiLevelType w:val="hybridMultilevel"/>
    <w:tmpl w:val="5AC0C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A0611"/>
    <w:multiLevelType w:val="hybridMultilevel"/>
    <w:tmpl w:val="4F6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D4"/>
    <w:rsid w:val="0000675D"/>
    <w:rsid w:val="001A41AB"/>
    <w:rsid w:val="001C6FE2"/>
    <w:rsid w:val="00314027"/>
    <w:rsid w:val="00403A71"/>
    <w:rsid w:val="004854AE"/>
    <w:rsid w:val="004D5374"/>
    <w:rsid w:val="005D592C"/>
    <w:rsid w:val="009D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005A9-01E4-47B2-BECB-819B8BF1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MAHEC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Coulson</dc:creator>
  <cp:keywords/>
  <dc:description/>
  <cp:lastModifiedBy>Carol Coulson</cp:lastModifiedBy>
  <cp:revision>3</cp:revision>
  <dcterms:created xsi:type="dcterms:W3CDTF">2022-06-07T00:00:00Z</dcterms:created>
  <dcterms:modified xsi:type="dcterms:W3CDTF">2022-06-09T16:47:00Z</dcterms:modified>
</cp:coreProperties>
</file>