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3F8" w:rsidRDefault="00AD63F8">
      <w:r>
        <w:t>GESTATIONAL DATING</w:t>
      </w:r>
    </w:p>
    <w:p w:rsidR="001877A4" w:rsidRDefault="001877A4">
      <w:r>
        <w:t>Gestational Dating</w:t>
      </w:r>
      <w:r w:rsidR="00AD63F8">
        <w:t>:  Guidelines for Redating Based on Ultrasonography</w:t>
      </w:r>
    </w:p>
    <w:p w:rsidR="0046186B" w:rsidRDefault="0046186B">
      <w:pPr>
        <w:rPr>
          <w:b/>
        </w:rPr>
      </w:pPr>
      <w:r w:rsidRPr="00AD63F8">
        <w:rPr>
          <w:b/>
        </w:rPr>
        <w:t>SUMMARY: Ultrasound measurement of the embryo or fetus in the first trimester (up to and including 13 6/7 weeks of gestation) is the most accurate method to establish or confirm gestational age. Measurements of the CRL are more accurate the earlier in the first trimester that ultrasonography is performed.</w:t>
      </w:r>
    </w:p>
    <w:p w:rsidR="00A8506D" w:rsidRDefault="00814622">
      <w:r>
        <w:rPr>
          <w:b/>
        </w:rPr>
        <w:t>Rationale</w:t>
      </w:r>
      <w:r w:rsidR="00A8506D">
        <w:t xml:space="preserve">: </w:t>
      </w:r>
      <w:r w:rsidR="00A8506D" w:rsidRPr="00A8506D">
        <w:t>Accurate dating of pregnancy is important to improve outcomes and is a research and public health imperative. As soon as data from the LMP, the first accurate ultrasound examination, or both are obtained, the gestational age and the EDD should be determined, discussed with the patient, and documented clearly in the medical record. Subsequent changes to the EDD should be reserved for rare circumstances, discussed with the patient, and documented clearly in the medical record.</w:t>
      </w:r>
    </w:p>
    <w:p w:rsidR="00A8506D" w:rsidRDefault="00A8506D">
      <w:r w:rsidRPr="00814622">
        <w:rPr>
          <w:b/>
        </w:rPr>
        <w:t>Eligible Patients</w:t>
      </w:r>
      <w:r w:rsidR="005C18C7">
        <w:t>: All pregnant people</w:t>
      </w:r>
      <w:r>
        <w:t xml:space="preserve"> with </w:t>
      </w:r>
      <w:r w:rsidR="005C18C7">
        <w:t xml:space="preserve">a </w:t>
      </w:r>
      <w:r>
        <w:t>positive pregnancy test and estimated gestational age by LMP of 6 weeks or more.</w:t>
      </w:r>
    </w:p>
    <w:p w:rsidR="00A8506D" w:rsidRDefault="00A8506D">
      <w:r w:rsidRPr="00814622">
        <w:rPr>
          <w:b/>
        </w:rPr>
        <w:t>Contraindications</w:t>
      </w:r>
      <w:r>
        <w:t>: None</w:t>
      </w:r>
    </w:p>
    <w:p w:rsidR="00A8506D" w:rsidRDefault="00A8506D">
      <w:r w:rsidRPr="0046186B">
        <w:rPr>
          <w:b/>
        </w:rPr>
        <w:t>Technique</w:t>
      </w:r>
      <w:r>
        <w:t>: Perform dating ultrasound in first trimester if at all possible and correlate with m</w:t>
      </w:r>
      <w:r w:rsidR="0046186B">
        <w:t xml:space="preserve">enstrual dates.  See table </w:t>
      </w:r>
      <w:r w:rsidR="00AD63F8">
        <w:t>below</w:t>
      </w:r>
      <w:r>
        <w:t xml:space="preserve">. Choose EDD. Document </w:t>
      </w:r>
      <w:r w:rsidR="00814622">
        <w:t xml:space="preserve">EDD </w:t>
      </w:r>
      <w:r>
        <w:t xml:space="preserve">in </w:t>
      </w:r>
      <w:r w:rsidR="0046186B">
        <w:t xml:space="preserve">the </w:t>
      </w:r>
      <w:r w:rsidR="00814622">
        <w:t xml:space="preserve">patient’s </w:t>
      </w:r>
      <w:r>
        <w:t>chart.</w:t>
      </w:r>
    </w:p>
    <w:p w:rsidR="00AD63F8" w:rsidRDefault="00AD63F8"/>
    <w:p w:rsidR="00AD63F8" w:rsidRDefault="00AD63F8">
      <w:r w:rsidRPr="0046186B">
        <w:rPr>
          <w:b/>
        </w:rPr>
        <w:t>TABLE: Guidelines for Redating Based on Ultrasound</w:t>
      </w:r>
    </w:p>
    <w:tbl>
      <w:tblPr>
        <w:tblStyle w:val="TableGrid"/>
        <w:tblW w:w="0" w:type="auto"/>
        <w:tblInd w:w="918" w:type="dxa"/>
        <w:tblLook w:val="04A0" w:firstRow="1" w:lastRow="0" w:firstColumn="1" w:lastColumn="0" w:noHBand="0" w:noVBand="1"/>
      </w:tblPr>
      <w:tblGrid>
        <w:gridCol w:w="2700"/>
        <w:gridCol w:w="1782"/>
        <w:gridCol w:w="2898"/>
      </w:tblGrid>
      <w:tr w:rsidR="00AD63F8" w:rsidTr="00AD63F8">
        <w:tc>
          <w:tcPr>
            <w:tcW w:w="2700" w:type="dxa"/>
          </w:tcPr>
          <w:p w:rsidR="00AD63F8" w:rsidRDefault="00AD63F8" w:rsidP="00AD63F8">
            <w:r>
              <w:t>Gestational Age Range         (Based on LMP)</w:t>
            </w:r>
          </w:p>
        </w:tc>
        <w:tc>
          <w:tcPr>
            <w:tcW w:w="1782" w:type="dxa"/>
          </w:tcPr>
          <w:p w:rsidR="00AD63F8" w:rsidRDefault="00AD63F8" w:rsidP="00AD63F8">
            <w:r>
              <w:t>Method of   Measurement</w:t>
            </w:r>
          </w:p>
        </w:tc>
        <w:tc>
          <w:tcPr>
            <w:tcW w:w="2898" w:type="dxa"/>
          </w:tcPr>
          <w:p w:rsidR="00AD63F8" w:rsidRDefault="00AD63F8" w:rsidP="00AD63F8">
            <w:r>
              <w:t>Discrepancy btw LMP and US dating that supports redating</w:t>
            </w:r>
          </w:p>
        </w:tc>
      </w:tr>
      <w:tr w:rsidR="00AD63F8" w:rsidTr="00AA7102">
        <w:trPr>
          <w:trHeight w:val="1088"/>
        </w:trPr>
        <w:tc>
          <w:tcPr>
            <w:tcW w:w="2700" w:type="dxa"/>
          </w:tcPr>
          <w:p w:rsidR="00AD63F8" w:rsidRDefault="00AA7102" w:rsidP="00AD63F8">
            <w:pPr>
              <w:spacing w:line="480" w:lineRule="auto"/>
              <w:jc w:val="center"/>
            </w:pPr>
            <w:r>
              <w:t>&lt;/= 8W + 6</w:t>
            </w:r>
            <w:r w:rsidR="00AD63F8">
              <w:t>d</w:t>
            </w:r>
          </w:p>
          <w:p w:rsidR="00AD63F8" w:rsidRDefault="00AA7102" w:rsidP="00AD63F8">
            <w:pPr>
              <w:spacing w:line="480" w:lineRule="auto"/>
              <w:jc w:val="center"/>
            </w:pPr>
            <w:r>
              <w:t>9</w:t>
            </w:r>
            <w:r w:rsidR="00602358">
              <w:t>W + 0</w:t>
            </w:r>
            <w:r w:rsidR="00AD63F8">
              <w:t>d to 13W + 6d</w:t>
            </w:r>
          </w:p>
        </w:tc>
        <w:tc>
          <w:tcPr>
            <w:tcW w:w="1782" w:type="dxa"/>
          </w:tcPr>
          <w:p w:rsidR="00AD63F8" w:rsidRDefault="00AD63F8" w:rsidP="00AD63F8">
            <w:pPr>
              <w:spacing w:line="480" w:lineRule="auto"/>
              <w:jc w:val="center"/>
            </w:pPr>
            <w:r>
              <w:t>CRL (avg of 3)</w:t>
            </w:r>
          </w:p>
          <w:p w:rsidR="00AD63F8" w:rsidRDefault="00AD63F8" w:rsidP="00AA7102">
            <w:pPr>
              <w:spacing w:line="480" w:lineRule="auto"/>
              <w:jc w:val="center"/>
            </w:pPr>
            <w:r>
              <w:t>CRL</w:t>
            </w:r>
          </w:p>
        </w:tc>
        <w:tc>
          <w:tcPr>
            <w:tcW w:w="2898" w:type="dxa"/>
          </w:tcPr>
          <w:p w:rsidR="00AD63F8" w:rsidRDefault="00AA7102" w:rsidP="00AD63F8">
            <w:pPr>
              <w:spacing w:line="480" w:lineRule="auto"/>
            </w:pPr>
            <w:r>
              <w:t>More than 5</w:t>
            </w:r>
            <w:r w:rsidR="00AD63F8">
              <w:t xml:space="preserve"> days</w:t>
            </w:r>
          </w:p>
          <w:p w:rsidR="00AD63F8" w:rsidRDefault="00AD63F8" w:rsidP="00AD63F8">
            <w:pPr>
              <w:spacing w:line="480" w:lineRule="auto"/>
            </w:pPr>
            <w:r>
              <w:t>More than 7 days</w:t>
            </w:r>
          </w:p>
        </w:tc>
      </w:tr>
      <w:tr w:rsidR="00AD63F8" w:rsidTr="00AD63F8">
        <w:tc>
          <w:tcPr>
            <w:tcW w:w="2700" w:type="dxa"/>
          </w:tcPr>
          <w:p w:rsidR="00AD63F8" w:rsidRDefault="00AD63F8" w:rsidP="00AD63F8">
            <w:pPr>
              <w:spacing w:line="480" w:lineRule="auto"/>
              <w:jc w:val="center"/>
            </w:pPr>
            <w:r>
              <w:t>14W + 0d to 15W + 6d</w:t>
            </w:r>
          </w:p>
          <w:p w:rsidR="00AD63F8" w:rsidRDefault="00AD63F8" w:rsidP="00AD63F8">
            <w:pPr>
              <w:spacing w:line="480" w:lineRule="auto"/>
              <w:jc w:val="center"/>
            </w:pPr>
            <w:r>
              <w:t>16W + 0d to 21W = 6d</w:t>
            </w:r>
          </w:p>
          <w:p w:rsidR="00AD63F8" w:rsidRDefault="00AD63F8" w:rsidP="00AD63F8">
            <w:pPr>
              <w:spacing w:line="480" w:lineRule="auto"/>
              <w:jc w:val="center"/>
            </w:pPr>
            <w:r>
              <w:t>22W + 0d to 27W + 6d</w:t>
            </w:r>
          </w:p>
          <w:p w:rsidR="00AD63F8" w:rsidRDefault="00AD63F8" w:rsidP="00AD63F8">
            <w:pPr>
              <w:spacing w:line="480" w:lineRule="auto"/>
              <w:jc w:val="center"/>
            </w:pPr>
            <w:r>
              <w:t>28W + 0d and beyond</w:t>
            </w:r>
          </w:p>
        </w:tc>
        <w:tc>
          <w:tcPr>
            <w:tcW w:w="1782" w:type="dxa"/>
          </w:tcPr>
          <w:p w:rsidR="00AD63F8" w:rsidRDefault="00AD63F8" w:rsidP="00AD63F8">
            <w:pPr>
              <w:spacing w:line="480" w:lineRule="auto"/>
              <w:jc w:val="center"/>
            </w:pPr>
            <w:r>
              <w:t>BPD, HC, AC, FL</w:t>
            </w:r>
          </w:p>
          <w:p w:rsidR="00AD63F8" w:rsidRDefault="00AD63F8" w:rsidP="00AD63F8">
            <w:pPr>
              <w:spacing w:line="480" w:lineRule="auto"/>
              <w:jc w:val="center"/>
            </w:pPr>
            <w:r>
              <w:t>BPD, HC, AC, FL</w:t>
            </w:r>
          </w:p>
          <w:p w:rsidR="00AD63F8" w:rsidRDefault="00AD63F8" w:rsidP="00AD63F8">
            <w:pPr>
              <w:spacing w:line="480" w:lineRule="auto"/>
              <w:jc w:val="center"/>
            </w:pPr>
            <w:r>
              <w:t>BPD, HC, AC, FL</w:t>
            </w:r>
          </w:p>
          <w:p w:rsidR="00AD63F8" w:rsidRDefault="00AD63F8" w:rsidP="00AD63F8">
            <w:pPr>
              <w:spacing w:line="480" w:lineRule="auto"/>
              <w:jc w:val="center"/>
            </w:pPr>
            <w:r>
              <w:t>BPD, HC, AC, FL</w:t>
            </w:r>
          </w:p>
        </w:tc>
        <w:tc>
          <w:tcPr>
            <w:tcW w:w="2898" w:type="dxa"/>
          </w:tcPr>
          <w:p w:rsidR="00AD63F8" w:rsidRDefault="00AD63F8" w:rsidP="00AD63F8">
            <w:pPr>
              <w:spacing w:line="480" w:lineRule="auto"/>
            </w:pPr>
            <w:r>
              <w:t>More than 7 days</w:t>
            </w:r>
          </w:p>
          <w:p w:rsidR="00AD63F8" w:rsidRDefault="00AD63F8" w:rsidP="00AD63F8">
            <w:pPr>
              <w:spacing w:line="480" w:lineRule="auto"/>
            </w:pPr>
            <w:r>
              <w:t>More than 10 days</w:t>
            </w:r>
          </w:p>
          <w:p w:rsidR="00AD63F8" w:rsidRDefault="00AD63F8" w:rsidP="00AD63F8">
            <w:pPr>
              <w:spacing w:line="480" w:lineRule="auto"/>
            </w:pPr>
            <w:r>
              <w:t>More than 14 days</w:t>
            </w:r>
          </w:p>
          <w:p w:rsidR="00AD63F8" w:rsidRDefault="00AD63F8" w:rsidP="00AD63F8">
            <w:pPr>
              <w:spacing w:line="480" w:lineRule="auto"/>
            </w:pPr>
            <w:r>
              <w:t>More than 21 days</w:t>
            </w:r>
          </w:p>
        </w:tc>
      </w:tr>
    </w:tbl>
    <w:p w:rsidR="00AD63F8" w:rsidRDefault="00AD63F8"/>
    <w:p w:rsidR="0046186B" w:rsidRDefault="00A8506D">
      <w:r w:rsidRPr="00814622">
        <w:rPr>
          <w:b/>
        </w:rPr>
        <w:t>Special Considerations</w:t>
      </w:r>
      <w:r>
        <w:t>:</w:t>
      </w:r>
      <w:r w:rsidRPr="00A8506D">
        <w:t xml:space="preserve"> </w:t>
      </w:r>
    </w:p>
    <w:p w:rsidR="00A8506D" w:rsidRDefault="00A8506D" w:rsidP="00AD63F8">
      <w:pPr>
        <w:pStyle w:val="ListParagraph"/>
        <w:numPr>
          <w:ilvl w:val="0"/>
          <w:numId w:val="2"/>
        </w:numPr>
      </w:pPr>
      <w:r w:rsidRPr="00A8506D">
        <w:t>Mean gestational sac size should not be used for establishing EDD.</w:t>
      </w:r>
    </w:p>
    <w:p w:rsidR="0046186B" w:rsidRDefault="0046186B" w:rsidP="00AD63F8">
      <w:pPr>
        <w:pStyle w:val="ListParagraph"/>
        <w:numPr>
          <w:ilvl w:val="0"/>
          <w:numId w:val="2"/>
        </w:numPr>
      </w:pPr>
      <w:r w:rsidRPr="0046186B">
        <w:t xml:space="preserve">If the </w:t>
      </w:r>
      <w:r w:rsidR="005C18C7">
        <w:t>patient is unsure of the</w:t>
      </w:r>
      <w:r w:rsidRPr="0046186B">
        <w:t xml:space="preserve"> LMP, dating should be based on ultrasound estimates</w:t>
      </w:r>
      <w:r>
        <w:t>.</w:t>
      </w:r>
    </w:p>
    <w:p w:rsidR="0046186B" w:rsidRDefault="0046186B" w:rsidP="00AD63F8">
      <w:pPr>
        <w:pStyle w:val="ListParagraph"/>
        <w:numPr>
          <w:ilvl w:val="0"/>
          <w:numId w:val="2"/>
        </w:numPr>
      </w:pPr>
      <w:r w:rsidRPr="0046186B">
        <w:lastRenderedPageBreak/>
        <w:t>If pregnancy resulted from ART, the ART-derived gestational age should be used to assign the EDD. For instance, the EDD for pregnancy resulting from in vitro fertilization should be assigned using the age of the embryo and the date of transfer</w:t>
      </w:r>
      <w:r>
        <w:t xml:space="preserve">.                        </w:t>
      </w:r>
    </w:p>
    <w:p w:rsidR="00AD63F8" w:rsidRDefault="00AD63F8">
      <w:pPr>
        <w:rPr>
          <w:b/>
        </w:rPr>
      </w:pPr>
      <w:r w:rsidRPr="00AD63F8">
        <w:rPr>
          <w:b/>
        </w:rPr>
        <w:t>Reference</w:t>
      </w:r>
      <w:r w:rsidR="00585820" w:rsidRPr="00AD63F8">
        <w:rPr>
          <w:b/>
        </w:rPr>
        <w:t xml:space="preserve"> </w:t>
      </w:r>
    </w:p>
    <w:p w:rsidR="004243BA" w:rsidRPr="0046186B" w:rsidRDefault="00585820">
      <w:pPr>
        <w:rPr>
          <w:b/>
        </w:rPr>
      </w:pPr>
      <w:r>
        <w:t>ACOG Committee Opin</w:t>
      </w:r>
      <w:r w:rsidR="009149DA">
        <w:t>ion #611, OCT 2014  (modified CCC</w:t>
      </w:r>
      <w:r>
        <w:t xml:space="preserve"> 11/26/14)</w:t>
      </w:r>
    </w:p>
    <w:p w:rsidR="009149DA" w:rsidRDefault="001877A4">
      <w:r>
        <w:t>Reviewed: 4/19</w:t>
      </w:r>
      <w:r w:rsidR="009149DA">
        <w:t>/16</w:t>
      </w:r>
    </w:p>
    <w:p w:rsidR="00AA7102" w:rsidRDefault="00AA7102">
      <w:r>
        <w:t>UPDATED: ACOG Committee Opinion #700, MAY 2017</w:t>
      </w:r>
      <w:r w:rsidRPr="00AA7102">
        <w:t xml:space="preserve"> </w:t>
      </w:r>
      <w:r>
        <w:t xml:space="preserve"> (CCC 9/25/2020)</w:t>
      </w:r>
      <w:r w:rsidRPr="00AA7102">
        <w:t xml:space="preserve"> </w:t>
      </w:r>
    </w:p>
    <w:p w:rsidR="005C18C7" w:rsidRDefault="005C18C7">
      <w:r>
        <w:t>Updated 3/31/22</w:t>
      </w:r>
      <w:bookmarkStart w:id="0" w:name="_GoBack"/>
      <w:bookmarkEnd w:id="0"/>
    </w:p>
    <w:sectPr w:rsidR="005C1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25DAD"/>
    <w:multiLevelType w:val="hybridMultilevel"/>
    <w:tmpl w:val="04E87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A1486"/>
    <w:multiLevelType w:val="hybridMultilevel"/>
    <w:tmpl w:val="EFC62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8C"/>
    <w:rsid w:val="001877A4"/>
    <w:rsid w:val="004243BA"/>
    <w:rsid w:val="0046186B"/>
    <w:rsid w:val="00585820"/>
    <w:rsid w:val="005C18C7"/>
    <w:rsid w:val="00602358"/>
    <w:rsid w:val="00814622"/>
    <w:rsid w:val="008A328C"/>
    <w:rsid w:val="009149DA"/>
    <w:rsid w:val="00A8506D"/>
    <w:rsid w:val="00AA7102"/>
    <w:rsid w:val="00AD6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E808A7"/>
  <w15:docId w15:val="{DEC2E26E-D132-412C-9C83-FBF2E0C2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6B"/>
    <w:pPr>
      <w:ind w:left="720"/>
      <w:contextualSpacing/>
    </w:pPr>
  </w:style>
  <w:style w:type="table" w:styleId="TableGrid">
    <w:name w:val="Table Grid"/>
    <w:basedOn w:val="TableNormal"/>
    <w:uiPriority w:val="59"/>
    <w:rsid w:val="00AD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BC9F-0DF6-49DF-8E9E-B3632E19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MAHEC</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Coulson</dc:creator>
  <cp:lastModifiedBy>Carol Coulson</cp:lastModifiedBy>
  <cp:revision>5</cp:revision>
  <dcterms:created xsi:type="dcterms:W3CDTF">2020-09-25T15:47:00Z</dcterms:created>
  <dcterms:modified xsi:type="dcterms:W3CDTF">2022-03-31T18:31:00Z</dcterms:modified>
</cp:coreProperties>
</file>